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header12.xml" ContentType="application/vnd.openxmlformats-officedocument.wordprocessingml.head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1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header15.xml" ContentType="application/vnd.openxmlformats-officedocument.wordprocessingml.header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26" o:title=""/>
                    </v:shape>
                  </w:pict>
                </mc:Fallback>
              </mc:AlternateContent>
            </w:r>
            <w:r/>
          </w:p>
          <w:p>
            <w:pPr>
              <w:pStyle w:val="1133"/>
            </w:pPr>
            <w:r>
              <w:t xml:space="preserve">Администрация</w:t>
            </w:r>
            <w:r/>
          </w:p>
          <w:p>
            <w:pPr>
              <w:pStyle w:val="1133"/>
            </w:pP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1133"/>
            </w:pPr>
            <w:r>
              <w:t xml:space="preserve">Нижегородской области</w:t>
            </w:r>
            <w:r/>
          </w:p>
          <w:p>
            <w:pPr>
              <w:jc w:val="center"/>
            </w:pPr>
            <w:r/>
            <w:r/>
          </w:p>
          <w:p>
            <w:pPr>
              <w:pStyle w:val="1134"/>
              <w:rPr>
                <w:sz w:val="20"/>
              </w:rPr>
            </w:pPr>
            <w:r>
              <w:t xml:space="preserve">П О С Т А Н О В Л Е Н И 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tabs>
          <w:tab w:val="left" w:pos="7155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  <w:t xml:space="preserve">от 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№ 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218" w:firstLine="302"/>
        <w:jc w:val="center"/>
        <w:spacing w:line="259" w:lineRule="auto"/>
        <w:rPr>
          <w:sz w:val="26"/>
          <w:szCs w:val="22"/>
        </w:rPr>
      </w:pPr>
      <w:r>
        <w:rPr>
          <w:b/>
          <w:sz w:val="27"/>
          <w:szCs w:val="22"/>
        </w:rPr>
        <w:t xml:space="preserve"> </w:t>
      </w:r>
      <w:r>
        <w:rPr>
          <w:b/>
          <w:sz w:val="26"/>
          <w:szCs w:val="26"/>
        </w:rPr>
        <w:t xml:space="preserve">О</w:t>
      </w:r>
      <w:r>
        <w:rPr>
          <w:b/>
          <w:sz w:val="26"/>
          <w:szCs w:val="26"/>
        </w:rPr>
        <w:t xml:space="preserve">б утверждении муниципальной программы </w:t>
      </w:r>
      <w:r>
        <w:rPr>
          <w:b/>
          <w:sz w:val="27"/>
          <w:szCs w:val="22"/>
        </w:rPr>
        <w:t xml:space="preserve">«Обеспечение населения </w:t>
      </w:r>
      <w:r>
        <w:rPr>
          <w:b/>
          <w:sz w:val="27"/>
          <w:szCs w:val="22"/>
        </w:rPr>
        <w:t xml:space="preserve">муниципального</w:t>
      </w:r>
      <w:r>
        <w:rPr>
          <w:b/>
          <w:sz w:val="27"/>
          <w:szCs w:val="22"/>
        </w:rPr>
        <w:t xml:space="preserve"> округа город Шахунья Нижегородской области качественными услугами в сфере жилищно-коммунального хозяйства»</w:t>
      </w:r>
      <w:r>
        <w:rPr>
          <w:sz w:val="26"/>
          <w:szCs w:val="22"/>
        </w:rPr>
      </w:r>
      <w:r>
        <w:rPr>
          <w:sz w:val="26"/>
          <w:szCs w:val="22"/>
        </w:rPr>
      </w:r>
    </w:p>
    <w:p>
      <w:pPr>
        <w:jc w:val="both"/>
        <w:spacing w:line="259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259" w:lineRule="auto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360" w:lineRule="auto"/>
        <w:rPr>
          <w:b/>
        </w:rPr>
      </w:pPr>
      <w:r>
        <w:rPr>
          <w:sz w:val="26"/>
          <w:szCs w:val="26"/>
        </w:rPr>
        <w:t xml:space="preserve">В соответствии с решением </w:t>
      </w:r>
      <w:r>
        <w:rPr>
          <w:sz w:val="26"/>
          <w:szCs w:val="26"/>
        </w:rPr>
        <w:t xml:space="preserve">Совета депутатов городского округа город Шахунья Нижегородской области от 1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декабря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 бюджете муниципального округа город Шахунья Нижегородской области на 2026 год и на плановый период 2027 и 2028 годов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постановлением администрации городского округа город Шахунья Нижегородской области от 26.05.2023 № 531 «</w:t>
      </w:r>
      <w:r>
        <w:rPr>
          <w:color w:val="1a1a1a"/>
          <w:sz w:val="26"/>
          <w:szCs w:val="26"/>
        </w:rPr>
        <w:t xml:space="preserve">Об</w:t>
      </w:r>
      <w:r>
        <w:rPr>
          <w:color w:val="1a1a1a"/>
          <w:sz w:val="26"/>
          <w:szCs w:val="26"/>
        </w:rPr>
        <w:t xml:space="preserve"> утверждении Порядка разработки, реализации и оценки эффективности муниципальных программ городского округа город Шахунья и методических рекомендаций по разработке и реализации муниципальных программ городского округа город Шахунья Нижегородской области», </w:t>
      </w:r>
      <w:r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 о с т а н о в л я е </w:t>
      </w:r>
      <w:r>
        <w:rPr>
          <w:b/>
          <w:sz w:val="26"/>
          <w:szCs w:val="26"/>
        </w:rPr>
        <w:t xml:space="preserve">т :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b/>
        </w:rPr>
      </w:r>
    </w:p>
    <w:p>
      <w:pPr>
        <w:pStyle w:val="1154"/>
        <w:ind w:left="0" w:firstLine="708"/>
        <w:jc w:val="both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Утвердить муниципальную программу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«Обеспечение населения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округа город Шахунья Нижегородской области качественными услугами в сфере жилищно-коммунального хозяйства»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изложив муниципальную программу в новой редакции</w:t>
      </w:r>
      <w:r>
        <w:rPr>
          <w:rFonts w:ascii="Times New Roman" w:hAnsi="Times New Roman" w:cs="Times New Roman"/>
          <w:bCs/>
          <w:sz w:val="26"/>
          <w:szCs w:val="26"/>
        </w:rPr>
        <w:t xml:space="preserve">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согласно приложению.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360" w:lineRule="auto"/>
        <w:tabs>
          <w:tab w:val="left" w:pos="0" w:leader="none"/>
        </w:tabs>
        <w:rPr>
          <w:sz w:val="26"/>
        </w:rPr>
      </w:pPr>
      <w:r>
        <w:rPr>
          <w:sz w:val="26"/>
        </w:rPr>
        <w:tab/>
        <w:t xml:space="preserve">2</w:t>
      </w:r>
      <w:r>
        <w:rPr>
          <w:sz w:val="26"/>
        </w:rPr>
        <w:t xml:space="preserve">. Настоящее постановление вступает в силу после официального опубликования посредством размещения настоящего постановления в газете «Знамя труда», в сетевом издании газеты «Знамя труда»</w:t>
      </w:r>
      <w:r>
        <w:rPr>
          <w:sz w:val="26"/>
        </w:rPr>
        <w:t xml:space="preserve">,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на официальном сайте администрации </w:t>
      </w:r>
      <w:r>
        <w:rPr>
          <w:sz w:val="25"/>
          <w:szCs w:val="25"/>
        </w:rPr>
        <w:t xml:space="preserve">муниципального</w:t>
      </w:r>
      <w:r>
        <w:rPr>
          <w:sz w:val="25"/>
          <w:szCs w:val="25"/>
        </w:rPr>
        <w:t xml:space="preserve"> округа город Шахунья Нижегородской области</w:t>
      </w:r>
      <w:r>
        <w:rPr>
          <w:sz w:val="26"/>
        </w:rPr>
        <w:t xml:space="preserve"> </w:t>
      </w:r>
      <w:r>
        <w:rPr>
          <w:sz w:val="26"/>
        </w:rPr>
        <w:t xml:space="preserve">и распространяет свое действие</w:t>
      </w:r>
      <w:r>
        <w:rPr>
          <w:sz w:val="26"/>
        </w:rPr>
        <w:t xml:space="preserve"> на правоотношения, возникшие с</w:t>
      </w:r>
      <w:r>
        <w:rPr>
          <w:sz w:val="26"/>
        </w:rPr>
        <w:t xml:space="preserve"> 01.0</w:t>
      </w:r>
      <w:r>
        <w:rPr>
          <w:sz w:val="26"/>
        </w:rPr>
        <w:t xml:space="preserve">1</w:t>
      </w:r>
      <w:r>
        <w:rPr>
          <w:sz w:val="26"/>
        </w:rPr>
        <w:t xml:space="preserve">.202</w:t>
      </w:r>
      <w:r>
        <w:rPr>
          <w:sz w:val="26"/>
        </w:rPr>
        <w:t xml:space="preserve">6.</w:t>
      </w:r>
      <w:r>
        <w:rPr>
          <w:sz w:val="26"/>
        </w:rPr>
      </w:r>
      <w:r>
        <w:rPr>
          <w:sz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</w:rPr>
        <w:tab/>
        <w:t xml:space="preserve">3. </w:t>
      </w:r>
      <w:r>
        <w:rPr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обеспечить размещение настоящего постановления в газете «Знамя труда», в сетевом </w:t>
      </w:r>
      <w:r>
        <w:rPr>
          <w:sz w:val="26"/>
          <w:szCs w:val="26"/>
        </w:rPr>
        <w:t xml:space="preserve">издании газеты «Знамя труда»</w:t>
      </w:r>
      <w:r>
        <w:rPr>
          <w:sz w:val="26"/>
          <w:szCs w:val="26"/>
        </w:rPr>
        <w:t xml:space="preserve"> и на официальном сайте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ab/>
        <w:t xml:space="preserve">4.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 дня вступления в силу настоящего постановления признать утратившими силу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spacing w:line="360" w:lineRule="auto"/>
        <w:rPr>
          <w:sz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постановление</w:t>
      </w:r>
      <w:r>
        <w:rPr>
          <w:sz w:val="26"/>
        </w:rPr>
        <w:t xml:space="preserve"> </w:t>
      </w:r>
      <w:r>
        <w:rPr>
          <w:sz w:val="26"/>
        </w:rPr>
        <w:t xml:space="preserve">администрации городского округа город Шахунья Нижегородской области</w:t>
      </w:r>
      <w:r>
        <w:rPr>
          <w:sz w:val="26"/>
        </w:rPr>
        <w:t xml:space="preserve"> </w:t>
      </w:r>
      <w:r>
        <w:rPr>
          <w:sz w:val="26"/>
        </w:rPr>
        <w:t xml:space="preserve">от 1</w:t>
      </w:r>
      <w:r>
        <w:rPr>
          <w:sz w:val="26"/>
        </w:rPr>
        <w:t xml:space="preserve">2</w:t>
      </w:r>
      <w:r>
        <w:rPr>
          <w:sz w:val="26"/>
        </w:rPr>
        <w:t xml:space="preserve">.05.202</w:t>
      </w:r>
      <w:r>
        <w:rPr>
          <w:sz w:val="26"/>
        </w:rPr>
        <w:t xml:space="preserve">5</w:t>
      </w:r>
      <w:r>
        <w:rPr>
          <w:sz w:val="26"/>
        </w:rPr>
        <w:t xml:space="preserve"> № </w:t>
      </w:r>
      <w:r>
        <w:rPr>
          <w:sz w:val="26"/>
        </w:rPr>
        <w:t xml:space="preserve">754</w:t>
      </w:r>
      <w:r>
        <w:rPr>
          <w:sz w:val="26"/>
        </w:rPr>
        <w:t xml:space="preserve"> </w:t>
      </w:r>
      <w:r>
        <w:rPr>
          <w:sz w:val="26"/>
        </w:rPr>
        <w:t xml:space="preserve">«</w:t>
      </w:r>
      <w:r>
        <w:rPr>
          <w:sz w:val="26"/>
        </w:rPr>
        <w:t xml:space="preserve">Об утверждении муниципальной программы «Обеспечение населения городского округа город Шахунья Нижегородской области качественными услугами в сфере жилищно-коммунального хозяйства»</w:t>
      </w:r>
      <w:r>
        <w:rPr>
          <w:sz w:val="26"/>
        </w:rPr>
        <w:t xml:space="preserve">;</w:t>
      </w:r>
      <w:r>
        <w:rPr>
          <w:sz w:val="26"/>
        </w:rPr>
      </w:r>
      <w:r>
        <w:rPr>
          <w:sz w:val="26"/>
        </w:rPr>
      </w:r>
    </w:p>
    <w:p>
      <w:pPr>
        <w:ind w:firstLine="708"/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постановление</w:t>
      </w:r>
      <w:r>
        <w:rPr>
          <w:sz w:val="26"/>
        </w:rPr>
        <w:t xml:space="preserve"> </w:t>
      </w:r>
      <w:r>
        <w:rPr>
          <w:sz w:val="26"/>
        </w:rPr>
        <w:t xml:space="preserve">администрации </w:t>
      </w:r>
      <w:r>
        <w:rPr>
          <w:sz w:val="26"/>
        </w:rPr>
        <w:t xml:space="preserve">муниципального</w:t>
      </w:r>
      <w:r>
        <w:rPr>
          <w:sz w:val="26"/>
        </w:rPr>
        <w:t xml:space="preserve"> округа город Шахунья Нижегородской области</w:t>
      </w:r>
      <w:r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18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.202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102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внесении изменений в постановление администрации городского округа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 Шахунья Нижегородской области от 12.05.2025 № 754 «Об утверждении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муниципальной программы «Обеспечение населения городского округа город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Шахунья Нижегородской области качественными услугами в сфере жилищно-коммунального хозяйства»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tabs>
          <w:tab w:val="left" w:pos="1134" w:leader="none"/>
        </w:tabs>
        <w:rPr>
          <w:sz w:val="26"/>
        </w:rPr>
      </w:pPr>
      <w:r>
        <w:rPr>
          <w:sz w:val="26"/>
        </w:rPr>
        <w:tab/>
        <w:t xml:space="preserve">5</w:t>
      </w:r>
      <w:r>
        <w:rPr>
          <w:sz w:val="26"/>
        </w:rPr>
        <w:t xml:space="preserve">.</w:t>
      </w:r>
      <w:r>
        <w:rPr>
          <w:sz w:val="26"/>
        </w:rPr>
        <w:t xml:space="preserve"> Контроль за исполнением настоящего постановления возложить на </w:t>
      </w:r>
      <w:r>
        <w:rPr>
          <w:sz w:val="26"/>
          <w:szCs w:val="26"/>
        </w:rPr>
        <w:t xml:space="preserve">заместителя главы </w:t>
      </w:r>
      <w:r>
        <w:rPr>
          <w:sz w:val="26"/>
        </w:rPr>
        <w:t xml:space="preserve">администрации </w:t>
      </w:r>
      <w:r>
        <w:rPr>
          <w:sz w:val="26"/>
        </w:rPr>
        <w:t xml:space="preserve">муниципального</w:t>
      </w:r>
      <w:r>
        <w:rPr>
          <w:sz w:val="26"/>
        </w:rPr>
        <w:t xml:space="preserve"> округа город Шахунья Нижегородской области </w:t>
      </w:r>
      <w:r>
        <w:rPr>
          <w:sz w:val="26"/>
        </w:rPr>
        <w:t xml:space="preserve">С.М. Трушкова.</w:t>
      </w:r>
      <w:r>
        <w:rPr>
          <w:sz w:val="26"/>
        </w:rPr>
      </w:r>
      <w:r>
        <w:rPr>
          <w:sz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left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left"/>
        <w:rPr>
          <w:sz w:val="26"/>
          <w:szCs w:val="26"/>
        </w:rPr>
        <w:sectPr>
          <w:footerReference w:type="even" r:id="rId24"/>
          <w:footnotePr/>
          <w:endnotePr/>
          <w:type w:val="nextPage"/>
          <w:pgSz w:w="11906" w:h="16838" w:orient="portrait"/>
          <w:pgMar w:top="850" w:right="567" w:bottom="992" w:left="1276" w:header="720" w:footer="720" w:gutter="0"/>
          <w:cols w:num="1" w:sep="0" w:space="720" w:equalWidth="1"/>
          <w:docGrid w:linePitch="360"/>
        </w:sect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</w:t>
      </w:r>
      <w:r>
        <w:rPr>
          <w:sz w:val="26"/>
          <w:szCs w:val="26"/>
        </w:rPr>
        <w:t xml:space="preserve">я                                                        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Утверждена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постановлен</w:t>
      </w:r>
      <w:r>
        <w:rPr>
          <w:sz w:val="26"/>
          <w:szCs w:val="26"/>
        </w:rPr>
        <w:t xml:space="preserve">ием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10915"/>
        <w:jc w:val="center"/>
        <w:widowControl w:val="off"/>
        <w:tabs>
          <w:tab w:val="right" w:pos="859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_________</w:t>
      </w:r>
      <w:r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</w:r>
    </w:p>
    <w:p>
      <w:pPr>
        <w:jc w:val="center"/>
        <w:spacing w:after="31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31" w:line="259" w:lineRule="auto"/>
        <w:rPr>
          <w:b/>
          <w:szCs w:val="22"/>
        </w:rPr>
      </w:pPr>
      <w:r>
        <w:rPr>
          <w:b/>
          <w:szCs w:val="22"/>
        </w:rPr>
        <w:t xml:space="preserve">МУНИЦИПАЛЬНАЯ ПРОГРАММА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b/>
          <w:bCs/>
        </w:rPr>
        <w:t xml:space="preserve">«</w:t>
      </w:r>
      <w:r>
        <w:rPr>
          <w:rFonts w:ascii="Times New Roman CYR" w:hAnsi="Times New Roman CYR" w:cs="Times New Roman CYR"/>
          <w:b/>
          <w:bCs/>
        </w:rPr>
        <w:t xml:space="preserve">ОБЕСПЕЧЕНИЕ НАСЕЛЕНИЯ </w:t>
      </w:r>
      <w:r>
        <w:rPr>
          <w:rFonts w:ascii="Times New Roman CYR" w:hAnsi="Times New Roman CYR" w:cs="Times New Roman CYR"/>
          <w:b/>
          <w:bCs/>
        </w:rPr>
        <w:t xml:space="preserve">МУНИЦИПАЛЬНОГО</w:t>
      </w:r>
      <w:r>
        <w:rPr>
          <w:rFonts w:ascii="Times New Roman CYR" w:hAnsi="Times New Roman CYR" w:cs="Times New Roman CYR"/>
          <w:b/>
          <w:bCs/>
        </w:rPr>
        <w:t xml:space="preserve"> ОКРУГА ГОРОД ШАХУНЬЯ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НИЖЕГОРОДСКОЙ ОБЛАСТИ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КАЧЕСТВЕННЫМИ УСЛУГАМИ В СФЕРЕ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ЖИЛИЩНО</w:t>
      </w:r>
      <w:r>
        <w:rPr>
          <w:b/>
          <w:bCs/>
        </w:rPr>
        <w:t xml:space="preserve">-</w:t>
      </w:r>
      <w:r>
        <w:rPr>
          <w:rFonts w:ascii="Times New Roman CYR" w:hAnsi="Times New Roman CYR" w:cs="Times New Roman CYR"/>
          <w:b/>
          <w:bCs/>
        </w:rPr>
        <w:t xml:space="preserve">КОММУНАЛЬНОГО ХОЗЯЙСТВА</w:t>
      </w:r>
      <w:r>
        <w:rPr>
          <w:b/>
          <w:bCs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p>
      <w:pPr>
        <w:contextualSpacing/>
        <w:spacing w:after="12" w:line="268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contextualSpacing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ПАСПОРТ МУНИЦИПАЛЬНОЙ ПРОГРАММЫ</w:t>
      </w:r>
      <w:r>
        <w:rPr>
          <w:rFonts w:ascii="Times New Roman CYR" w:hAnsi="Times New Roman CYR" w:cs="Times New Roman CYR"/>
          <w:b/>
          <w:bCs/>
        </w:rPr>
      </w:r>
      <w:r>
        <w:rPr>
          <w:rFonts w:ascii="Times New Roman CYR" w:hAnsi="Times New Roman CYR" w:cs="Times New Roman CYR"/>
          <w:b/>
          <w:bCs/>
        </w:rPr>
      </w:r>
    </w:p>
    <w:p>
      <w:pPr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«</w:t>
      </w:r>
      <w:r>
        <w:rPr>
          <w:rFonts w:ascii="Times New Roman CYR" w:hAnsi="Times New Roman CYR" w:cs="Times New Roman CYR"/>
          <w:b/>
          <w:bCs/>
        </w:rPr>
        <w:t xml:space="preserve">Обеспечение населения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 xml:space="preserve">муниципальн</w:t>
      </w:r>
      <w:r>
        <w:rPr>
          <w:rFonts w:ascii="Times New Roman CYR" w:hAnsi="Times New Roman CYR" w:cs="Times New Roman CYR"/>
          <w:b/>
          <w:bCs/>
        </w:rPr>
        <w:t xml:space="preserve">о</w:t>
      </w:r>
      <w:r>
        <w:rPr>
          <w:rFonts w:ascii="Times New Roman CYR" w:hAnsi="Times New Roman CYR" w:cs="Times New Roman CYR"/>
          <w:b/>
          <w:bCs/>
        </w:rPr>
        <w:t xml:space="preserve">го</w:t>
      </w:r>
      <w:r>
        <w:rPr>
          <w:rFonts w:ascii="Times New Roman CYR" w:hAnsi="Times New Roman CYR" w:cs="Times New Roman CYR"/>
          <w:b/>
          <w:bCs/>
        </w:rPr>
        <w:t xml:space="preserve"> округа город Шахунья Нижегородской области качественными услугами в сфере жилищно</w:t>
      </w:r>
      <w:r>
        <w:rPr>
          <w:b/>
          <w:bCs/>
        </w:rPr>
        <w:t xml:space="preserve">-</w:t>
      </w:r>
      <w:r>
        <w:rPr>
          <w:rFonts w:ascii="Times New Roman CYR" w:hAnsi="Times New Roman CYR" w:cs="Times New Roman CYR"/>
          <w:b/>
          <w:bCs/>
        </w:rPr>
        <w:t xml:space="preserve">коммунального хозяйства</w:t>
      </w:r>
      <w:r>
        <w:rPr>
          <w:b/>
          <w:bCs/>
        </w:rPr>
        <w:t xml:space="preserve">»</w:t>
      </w:r>
      <w:r>
        <w:rPr>
          <w:b/>
          <w:bCs/>
        </w:rPr>
      </w:r>
      <w:r>
        <w:rPr>
          <w:b/>
          <w:bCs/>
        </w:rPr>
      </w:r>
    </w:p>
    <w:tbl>
      <w:tblPr>
        <w:tblStyle w:val="1402"/>
        <w:tblW w:w="15253" w:type="dxa"/>
        <w:jc w:val="center"/>
        <w:tblInd w:w="0" w:type="dxa"/>
        <w:tblCellMar>
          <w:left w:w="74" w:type="dxa"/>
          <w:top w:w="51" w:type="dxa"/>
          <w:right w:w="18" w:type="dxa"/>
        </w:tblCellMar>
        <w:tblLook w:val="04A0" w:firstRow="1" w:lastRow="0" w:firstColumn="1" w:lastColumn="0" w:noHBand="0" w:noVBand="1"/>
      </w:tblPr>
      <w:tblGrid>
        <w:gridCol w:w="2907"/>
        <w:gridCol w:w="12330"/>
        <w:gridCol w:w="16"/>
      </w:tblGrid>
      <w:tr>
        <w:trPr>
          <w:gridAfter w:val="1"/>
          <w:jc w:val="center"/>
          <w:trHeight w:val="8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jc w:val="left"/>
              <w:spacing w:after="45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государственной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left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45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ind w:right="21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jc w:val="center"/>
              <w:spacing w:after="45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45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34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ind w:right="4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Мероприятия 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64"/>
              <w:jc w:val="both"/>
              <w:spacing w:after="36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общего имущества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after="31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3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</w:t>
            </w:r>
            <w:r>
              <w:rPr>
                <w:rFonts w:ascii="Times New Roman" w:hAnsi="Times New Roman"/>
                <w:color w:val="000000"/>
              </w:rPr>
              <w:t xml:space="preserve">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</w:rPr>
              <w:t xml:space="preserve">Расходы на строительство, реконструкцию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2616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муниципальной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Создание безопасных и благоприятных условий проживания граждан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after="32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Устранение неисправностей изношенных конструктивных элементов общего имущества собственников помещений в многоквартирных домах, в том числе по их восстановлению или замене для улучшения эксплуатационных характеристик;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after="23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Обеспечение надлежащего состояния общего имущества в мног</w:t>
            </w:r>
            <w:r>
              <w:rPr>
                <w:rFonts w:ascii="Times New Roman" w:hAnsi="Times New Roman"/>
              </w:rPr>
              <w:t xml:space="preserve">оквартирных домах в соответствии с Правилами и нормами технической эксплуатации жилищного фонда, утвержденными постановлением Государственного комитета Российской Федерации по строительству и жилищно-коммунальному комплексу от 27 сентября 2003 года № 170;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Создание благоприятных условий для пользователей услуг бюджетных, автономных и иных учреждений;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Создание условий для использования, природного газа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gridAfter w:val="1"/>
          <w:jc w:val="center"/>
          <w:trHeight w:val="30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line="259" w:lineRule="auto"/>
            </w:pPr>
            <w:r>
              <w:rPr>
                <w:rFonts w:ascii="Times New Roman" w:hAnsi="Times New Roman"/>
              </w:rPr>
              <w:t xml:space="preserve">Задачи муниципальной программы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60"/>
              <w:jc w:val="both"/>
              <w:spacing w:after="35" w:line="24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>
              <w:rPr>
                <w:rFonts w:ascii="Times New Roman" w:hAnsi="Times New Roman"/>
              </w:rPr>
              <w:t xml:space="preserve">Проведение капитального ремонта общего имущества всех многоквартирных домов, за исключением: многоквартирных домов, признанных в уст</w:t>
            </w:r>
            <w:r>
              <w:rPr>
                <w:rFonts w:ascii="Times New Roman" w:hAnsi="Times New Roman"/>
              </w:rPr>
              <w:t xml:space="preserve">ановленном порядке аварийными и подлежащими сносу; многоквартирных домов, в которых имеется менее чем три квартиры; жилых домов с количеством этажей не более чем три, состоящие из нескольких блоков, количество которых не превышает десять и каждый из которы</w:t>
            </w:r>
            <w:r>
              <w:rPr>
                <w:rFonts w:ascii="Times New Roman" w:hAnsi="Times New Roman"/>
              </w:rPr>
              <w:t xml:space="preserve">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Проведение капитального ремонта муниципальных жилых помещений по выезду комиссии по обследованию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line="27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Использование эффективных технических решений при проведении капитального ремонта общего имущества многоквартирного жилого фонда;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Обслуживание объектов жилищно-коммунального хозяйства;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33" w:line="250" w:lineRule="auto"/>
            </w:pPr>
            <w:r>
              <w:rPr>
                <w:rFonts w:ascii="Times New Roman" w:hAnsi="Times New Roman"/>
              </w:rPr>
              <w:t xml:space="preserve">- Газификация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</w:t>
            </w:r>
            <w:r>
              <w:rPr>
                <w:rFonts w:ascii="Times New Roman" w:hAnsi="Times New Roman"/>
              </w:rPr>
              <w:t xml:space="preserve"> Шахунья Нижегородской области.</w:t>
            </w:r>
            <w:r/>
          </w:p>
        </w:tc>
      </w:tr>
      <w:tr>
        <w:trPr>
          <w:gridAfter w:val="1"/>
          <w:jc w:val="center"/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line="259" w:lineRule="auto"/>
            </w:pPr>
            <w:r>
              <w:rPr>
                <w:rFonts w:ascii="Times New Roman" w:hAnsi="Times New Roman"/>
              </w:rPr>
              <w:t xml:space="preserve">Этапы и сроки реализации муниципальной программы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30" w:type="dxa"/>
            <w:textDirection w:val="lrTb"/>
            <w:noWrap w:val="false"/>
          </w:tcPr>
          <w:p>
            <w:pPr>
              <w:ind w:right="58"/>
              <w:jc w:val="both"/>
              <w:spacing w:after="33" w:line="250" w:lineRule="auto"/>
            </w:pPr>
            <w:r>
              <w:rPr>
                <w:rFonts w:ascii="Times New Roman" w:hAnsi="Times New Roman"/>
              </w:rPr>
              <w:t xml:space="preserve">Программа реализуется в течение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годов </w:t>
            </w:r>
            <w:r>
              <w:rPr>
                <w:rFonts w:ascii="Times New Roman" w:hAnsi="Times New Roman"/>
              </w:rPr>
              <w:t xml:space="preserve">(в один этап)</w:t>
            </w:r>
            <w:r/>
          </w:p>
        </w:tc>
      </w:tr>
      <w:tr>
        <w:trPr>
          <w:jc w:val="center"/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spacing w:after="23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муниципальной программы за счет средств </w:t>
            </w:r>
            <w:r>
              <w:rPr>
                <w:rFonts w:ascii="Times New Roman" w:hAnsi="Times New Roman"/>
              </w:rPr>
              <w:t xml:space="preserve">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</w:pPr>
            <w:r>
              <w:rPr>
                <w:rFonts w:ascii="Times New Roman" w:hAnsi="Times New Roman"/>
              </w:rPr>
              <w:t xml:space="preserve">Нижегородской области (в разбивке по Мероприятиям)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6" w:type="dxa"/>
            <w:textDirection w:val="lrTb"/>
            <w:noWrap w:val="false"/>
          </w:tcPr>
          <w:p>
            <w:pPr>
              <w:ind w:right="60"/>
              <w:jc w:val="both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Общий объем финансирования муниципальной программы составляет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066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,00</w:t>
            </w:r>
            <w:r>
              <w:rPr>
                <w:rFonts w:ascii="Times New Roman" w:hAnsi="Times New Roman"/>
              </w:rPr>
              <w:t xml:space="preserve"> рублей, в том числе по годам реализации: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4"/>
              <w:numPr>
                <w:ilvl w:val="0"/>
                <w:numId w:val="34"/>
              </w:numPr>
              <w:jc w:val="both"/>
              <w:spacing w:after="1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– </w:t>
            </w:r>
            <w:r>
              <w:rPr>
                <w:rFonts w:ascii="Times New Roman" w:hAnsi="Times New Roman" w:cs="Times New Roman"/>
                <w:color w:val="000000"/>
              </w:rPr>
              <w:t xml:space="preserve">41 575 800,00 </w:t>
            </w:r>
            <w:r>
              <w:rPr>
                <w:rFonts w:ascii="Times New Roman" w:hAnsi="Times New Roman" w:cs="Times New Roman"/>
              </w:rPr>
              <w:t xml:space="preserve">рублей,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1154"/>
              <w:numPr>
                <w:ilvl w:val="0"/>
                <w:numId w:val="34"/>
              </w:numPr>
              <w:jc w:val="both"/>
              <w:spacing w:after="23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год – </w:t>
            </w:r>
            <w:r>
              <w:rPr>
                <w:rFonts w:ascii="Times New Roman" w:hAnsi="Times New Roman" w:cs="Times New Roman"/>
                <w:color w:val="000000"/>
              </w:rPr>
              <w:t xml:space="preserve">8 490 300,00 </w:t>
            </w:r>
            <w:r>
              <w:rPr>
                <w:rFonts w:ascii="Times New Roman" w:hAnsi="Times New Roman" w:cs="Times New Roman"/>
              </w:rPr>
              <w:t xml:space="preserve">рублей,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spacing w:after="23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2028</w:t>
            </w:r>
            <w:r>
              <w:rPr>
                <w:rFonts w:ascii="Times New Roman" w:hAnsi="Times New Roman"/>
              </w:rPr>
              <w:t xml:space="preserve"> год - </w:t>
            </w:r>
            <w:r>
              <w:rPr>
                <w:rFonts w:ascii="Times New Roman" w:hAnsi="Times New Roman"/>
                <w:color w:val="000000"/>
              </w:rPr>
              <w:t xml:space="preserve">4 000 000,00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8"/>
              <w:jc w:val="both"/>
              <w:spacing w:after="6" w:line="25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общего имущества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с общим объёмом финансирования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  <w:t xml:space="preserve"> рублей: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  <w:t xml:space="preserve">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  <w:t xml:space="preserve"> рублей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  <w:t xml:space="preserve"> рублей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after="8" w:line="25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с общим объёмом финансирования – </w:t>
            </w: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000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  <w:t xml:space="preserve"> рублей: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рублей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3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с общим объёмом финансирования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–</w:t>
            </w:r>
            <w:r>
              <w:rPr>
                <w:rFonts w:ascii="Times New Roman" w:hAnsi="Times New Roman"/>
              </w:rPr>
              <w:t xml:space="preserve"> 0 </w:t>
            </w:r>
            <w:r>
              <w:rPr>
                <w:rFonts w:ascii="Times New Roman" w:hAnsi="Times New Roman"/>
              </w:rPr>
              <w:t xml:space="preserve">рублей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– 0</w:t>
            </w:r>
            <w:r>
              <w:rPr>
                <w:rFonts w:ascii="Times New Roman" w:hAnsi="Times New Roman"/>
              </w:rPr>
              <w:t xml:space="preserve"> рублей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</w:t>
            </w:r>
            <w:r>
              <w:rPr>
                <w:rFonts w:ascii="Times New Roman" w:hAnsi="Times New Roman"/>
                <w:color w:val="000000"/>
              </w:rPr>
              <w:t xml:space="preserve">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Расходы на строительство, реконструкцию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066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00,00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рублей.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-       </w:t>
            </w: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37 575 800,00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рублей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7 </w:t>
            </w:r>
            <w:r>
              <w:rPr>
                <w:rFonts w:ascii="Times New Roman" w:hAnsi="Times New Roman"/>
              </w:rPr>
              <w:t xml:space="preserve">год –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4 490 300,00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0"/>
              </w:numPr>
              <w:jc w:val="both"/>
              <w:spacing w:after="12" w:line="259" w:lineRule="auto"/>
            </w:pPr>
            <w:r>
              <w:rPr>
                <w:rFonts w:ascii="Times New Roman" w:hAnsi="Times New Roman"/>
              </w:rPr>
              <w:t xml:space="preserve">на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– 0</w:t>
            </w:r>
            <w:r>
              <w:rPr>
                <w:rFonts w:ascii="Times New Roman" w:hAnsi="Times New Roman"/>
              </w:rPr>
              <w:t xml:space="preserve"> рублей</w:t>
            </w:r>
            <w:r>
              <w:rPr>
                <w:rFonts w:ascii="Times New Roman" w:hAnsi="Times New Roman"/>
              </w:rPr>
              <w:t xml:space="preserve">.</w:t>
            </w:r>
            <w:r/>
          </w:p>
        </w:tc>
      </w:tr>
      <w:tr>
        <w:trPr>
          <w:jc w:val="center"/>
          <w:trHeight w:val="5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7" w:type="dxa"/>
            <w:textDirection w:val="lrTb"/>
            <w:noWrap w:val="false"/>
          </w:tcPr>
          <w:p>
            <w:pPr>
              <w:ind w:right="16"/>
              <w:spacing w:after="1" w:line="27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показатели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3" w:line="258" w:lineRule="auto"/>
            </w:pPr>
            <w:r>
              <w:rPr>
                <w:rFonts w:ascii="Times New Roman" w:hAnsi="Times New Roman"/>
              </w:rPr>
              <w:t xml:space="preserve">непосредственных результатов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6" w:type="dxa"/>
            <w:textDirection w:val="lrTb"/>
            <w:noWrap w:val="false"/>
          </w:tcPr>
          <w:p>
            <w:pPr>
              <w:jc w:val="both"/>
              <w:spacing w:after="27"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общего имущества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,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7" w:line="2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Общая площадь капитально отремонтированных многоквартирных домов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 составит </w:t>
            </w:r>
            <w:r>
              <w:rPr>
                <w:rFonts w:ascii="Times New Roman" w:hAnsi="Times New Roman"/>
              </w:rPr>
              <w:t xml:space="preserve">25 921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68</w:t>
            </w:r>
            <w:r>
              <w:rPr>
                <w:rFonts w:ascii="Times New Roman" w:hAnsi="Times New Roman"/>
              </w:rPr>
              <w:t xml:space="preserve"> кв.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679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82</w:t>
            </w:r>
            <w:r>
              <w:rPr>
                <w:rFonts w:ascii="Times New Roman" w:hAnsi="Times New Roman"/>
              </w:rPr>
              <w:t xml:space="preserve"> кв.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8 654, 54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8 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87, 32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8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Общее количество капитально отремонтированных многоквартирных домов составит </w:t>
            </w:r>
            <w:r>
              <w:rPr>
                <w:rFonts w:ascii="Times New Roman" w:hAnsi="Times New Roman"/>
              </w:rPr>
              <w:t xml:space="preserve">24</w:t>
            </w:r>
            <w:r>
              <w:rPr>
                <w:rFonts w:ascii="Times New Roman" w:hAnsi="Times New Roman"/>
              </w:rPr>
              <w:t xml:space="preserve"> ед.: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ед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ед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38"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38" w:line="24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, будут достигнуты следующие значения индикаторов и показатели непосредственных результатов: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8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муниципальных жилых помещений, подлежащих капитальному ремонту, составит </w:t>
            </w:r>
            <w:r>
              <w:rPr>
                <w:rFonts w:ascii="Times New Roman" w:hAnsi="Times New Roman"/>
              </w:rPr>
              <w:t xml:space="preserve">45</w:t>
            </w:r>
            <w:r>
              <w:rPr>
                <w:rFonts w:ascii="Times New Roman" w:hAnsi="Times New Roman"/>
              </w:rPr>
              <w:t xml:space="preserve"> ед.: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  <w:t xml:space="preserve"> ед.,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  <w:t xml:space="preserve"> ед.,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1"/>
              </w:numPr>
              <w:jc w:val="both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составит 15 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line="27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  <w:b/>
              </w:rPr>
              <w:t xml:space="preserve"> 3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(Закупка товаров, работ и услуг для обеспечения государственных (муниципальных нужд</w:t>
            </w:r>
            <w:r>
              <w:rPr>
                <w:rFonts w:ascii="Times New Roman" w:hAnsi="Times New Roman"/>
              </w:rPr>
              <w:t xml:space="preserve">),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будут достигнуты следующие значения индикаторов и показатели непосредственных результатов: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3"/>
              <w:jc w:val="both"/>
              <w:spacing w:after="15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Общее количество посетителей, пользующихся услугами бюджетными, автономными и иными некоммерческими организациями </w:t>
            </w:r>
            <w:r>
              <w:rPr>
                <w:rFonts w:ascii="Times New Roman" w:hAnsi="Times New Roman"/>
              </w:rPr>
              <w:t xml:space="preserve">в сфере жилищно-коммунального хозяйства </w:t>
            </w:r>
            <w:r>
              <w:rPr>
                <w:rFonts w:ascii="Times New Roman" w:hAnsi="Times New Roman"/>
              </w:rPr>
              <w:t xml:space="preserve">составит 1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00 человек: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right="1352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составит 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5 200 человек,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right="1352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составит 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5 200 человек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2"/>
              </w:numPr>
              <w:ind w:right="1352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составит - 5 200 человек.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0"/>
              <w:jc w:val="both"/>
              <w:spacing w:line="274" w:lineRule="exact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По итогам реализации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Мероприяти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я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4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  <w:color w:val="000000"/>
              </w:rPr>
              <w:t xml:space="preserve">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</w:t>
            </w:r>
            <w:r>
              <w:rPr>
                <w:rFonts w:ascii="Times New Roman" w:hAnsi="Times New Roman"/>
              </w:rPr>
              <w:t xml:space="preserve"> будут достигнуты следующие значения индикаторов и показатели непосредственных результатов: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ind w:right="20"/>
              <w:jc w:val="both"/>
              <w:spacing w:line="274" w:lineRule="exact"/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Проектные работы по объект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(Строительство источника теплоснабжения (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модульной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котельной) 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природном газе    и реконструкция тепловых сетей в г. Шахунья, для обеспечения жителей теплоснабжением и горячим водоснабжением, проживающих в МКД,расположенных по улице Октябрьская, Карла Маркса, Папанина, Деповская).</w:t>
            </w:r>
            <w:r/>
          </w:p>
        </w:tc>
      </w:tr>
    </w:tbl>
    <w:p>
      <w:pPr>
        <w:spacing w:line="120" w:lineRule="auto"/>
        <w:rPr>
          <w:szCs w:val="22"/>
        </w:rPr>
      </w:pPr>
      <w:r>
        <w:rPr>
          <w:szCs w:val="22"/>
        </w:rPr>
        <w:br w:type="textWrapping" w:clear="all"/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tabs>
          <w:tab w:val="left" w:pos="1350" w:leader="none"/>
        </w:tabs>
        <w:rPr>
          <w:szCs w:val="22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6838" w:h="11904" w:orient="landscape"/>
          <w:pgMar w:top="720" w:right="720" w:bottom="720" w:left="720" w:header="722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ind w:right="403"/>
        <w:jc w:val="center"/>
        <w:keepLines/>
        <w:keepNext/>
        <w:spacing w:after="3" w:line="270" w:lineRule="auto"/>
        <w:rPr>
          <w:b/>
          <w:szCs w:val="22"/>
        </w:rPr>
        <w:outlineLvl w:val="0"/>
      </w:pPr>
      <w:r>
        <w:rPr>
          <w:b/>
          <w:szCs w:val="22"/>
        </w:rPr>
        <w:t xml:space="preserve">2. Текстовая часть муниципальной программы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«</w:t>
      </w:r>
      <w:r>
        <w:rPr>
          <w:b/>
          <w:szCs w:val="22"/>
        </w:rPr>
        <w:t xml:space="preserve">Обеспечение населения </w:t>
      </w:r>
      <w:r>
        <w:rPr>
          <w:b/>
          <w:szCs w:val="22"/>
        </w:rPr>
        <w:t xml:space="preserve">муниципального</w:t>
      </w:r>
      <w:r>
        <w:rPr>
          <w:b/>
          <w:szCs w:val="22"/>
        </w:rPr>
        <w:t xml:space="preserve"> округа город Шахунья Нижегородской области качественными услугами в сфере жилищно-коммунального хозяйства</w:t>
      </w:r>
      <w:r>
        <w:rPr>
          <w:b/>
          <w:szCs w:val="22"/>
        </w:rPr>
        <w:t xml:space="preserve">»</w:t>
      </w:r>
      <w:r>
        <w:rPr>
          <w:b/>
          <w:szCs w:val="22"/>
        </w:rPr>
        <w:t xml:space="preserve"> (далее -</w:t>
      </w:r>
      <w:r>
        <w:rPr>
          <w:szCs w:val="22"/>
        </w:rPr>
      </w:r>
      <w:r>
        <w:rPr>
          <w:szCs w:val="22"/>
        </w:rPr>
      </w:r>
    </w:p>
    <w:p>
      <w:pPr>
        <w:ind w:right="942"/>
        <w:jc w:val="center"/>
        <w:keepLines/>
        <w:keepNext/>
        <w:spacing w:after="3" w:line="270" w:lineRule="auto"/>
        <w:rPr>
          <w:b/>
          <w:szCs w:val="22"/>
        </w:rPr>
        <w:outlineLvl w:val="0"/>
      </w:pPr>
      <w:r>
        <w:rPr>
          <w:b/>
          <w:szCs w:val="22"/>
        </w:rPr>
        <w:t xml:space="preserve">Муниципальная программа)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after="31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ind w:right="406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2.1. Характеристика текущего состояния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Объем многоквартирного жилищного фонда </w:t>
      </w:r>
      <w:r>
        <w:rPr>
          <w:szCs w:val="22"/>
        </w:rPr>
        <w:t xml:space="preserve">муниципального</w:t>
      </w:r>
      <w:r>
        <w:rPr>
          <w:szCs w:val="22"/>
        </w:rPr>
        <w:t xml:space="preserve"> округа город Шахунья Нижегородской области (с учетом домов блокированной застройки) составляет </w:t>
      </w:r>
      <w:r>
        <w:rPr>
          <w:szCs w:val="22"/>
        </w:rPr>
        <w:t xml:space="preserve">579 300,00 м</w:t>
      </w:r>
      <w:r>
        <w:rPr>
          <w:szCs w:val="22"/>
          <w:vertAlign w:val="superscript"/>
        </w:rPr>
        <w:t xml:space="preserve">3</w:t>
      </w:r>
      <w:r>
        <w:rPr>
          <w:szCs w:val="22"/>
        </w:rPr>
        <w:t xml:space="preserve">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Общая площадь жилых и нежилых помещений в многоквартирных домах </w:t>
      </w:r>
      <w:r>
        <w:rPr>
          <w:szCs w:val="22"/>
        </w:rPr>
        <w:t xml:space="preserve">муниципального</w:t>
      </w:r>
      <w:r>
        <w:rPr>
          <w:szCs w:val="22"/>
        </w:rPr>
        <w:t xml:space="preserve"> округа город Шахунья Нижегородской области, участвующих в региональной адресной программе по проведению капитального ремонта общего имущества в многоквартирных домах, расположенных на территории Нижегородской области</w:t>
      </w:r>
      <w:r>
        <w:rPr>
          <w:szCs w:val="22"/>
        </w:rPr>
        <w:t xml:space="preserve">,</w:t>
      </w:r>
      <w:r>
        <w:rPr>
          <w:szCs w:val="22"/>
        </w:rPr>
        <w:t xml:space="preserve"> составляет – </w:t>
      </w:r>
      <w:r>
        <w:rPr>
          <w:szCs w:val="22"/>
        </w:rPr>
        <w:t xml:space="preserve">384 956,40 м</w:t>
      </w:r>
      <w:r>
        <w:rPr>
          <w:szCs w:val="22"/>
          <w:vertAlign w:val="superscript"/>
        </w:rPr>
        <w:t xml:space="preserve">2</w:t>
      </w:r>
      <w:r>
        <w:rPr>
          <w:szCs w:val="22"/>
        </w:rPr>
        <w:t xml:space="preserve">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На территории </w:t>
      </w:r>
      <w:r>
        <w:rPr>
          <w:szCs w:val="22"/>
        </w:rPr>
        <w:t xml:space="preserve">муниципального</w:t>
      </w:r>
      <w:r>
        <w:rPr>
          <w:szCs w:val="22"/>
        </w:rPr>
        <w:t xml:space="preserve"> округа город Шахунья Нижегородской области имеются следующие источники холодного водоснабжения и водоотведения: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2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водозаборы – 59 ед., в т.ч. жилищно-коммунального хозяйства (далее - ЖКХ) муниципального образования – 59 ед.;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2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насосные станции водопровода – 1 ед., в т.ч. ЖКХ муниципального образования – 1 ед.;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2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очистные сооружения водопровода – 2 ед., в т.ч. ЖКХ муниципального образования – 2 ед.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Источники холодного водоснабжения и водоотведения находятся в обслуживании следующих организаций: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3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Муниципальное унитарное предприятие «Водоканал»;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3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Муниципальное унитарное предприятие «ШОКС»; Протяженность сетей: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3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тепловые (в двухтрубном исчислении) – 68,5 км, в т.ч. ЖКХ муниципального образования – 60,8 км.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ветхие тепловые сети (в двухтрубном исчислении) – 13,4 км, в т.ч. ЖКХ муниципального образования – 13,4 км.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водопроводные – 162,1 км, в т.ч. ЖКХ муниципального образования – 158,1 км.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сети водопровода – 37,4 км, в т.ч. ЖКХ муниципального образования – 37,4 км.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канализационные – 72,9 км, в т.ч. ЖКХ муниципального образования – 72,9 км.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ветхие сети канализационные – 18,8 км, в т.ч. ЖКХ муниципального образования – 18,8 км.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Жилой сектор, расположенный на территории </w:t>
      </w:r>
      <w:r>
        <w:rPr>
          <w:szCs w:val="22"/>
        </w:rPr>
        <w:t xml:space="preserve">муниципального</w:t>
      </w:r>
      <w:r>
        <w:rPr>
          <w:szCs w:val="22"/>
        </w:rPr>
        <w:t xml:space="preserve"> округа город Ш</w:t>
      </w:r>
      <w:r>
        <w:rPr>
          <w:szCs w:val="22"/>
        </w:rPr>
        <w:t xml:space="preserve">ахунья Нижегородской области, представлен индивидуальной жилой застройкой и многоквартирными жилыми домами. Большинство жителей индивидуальной жилой застройки используют индивидуальные источники тепловой энергии: электрическое отопление, печное отопление.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На территории </w:t>
      </w:r>
      <w:r>
        <w:rPr>
          <w:szCs w:val="22"/>
        </w:rPr>
        <w:t xml:space="preserve">муниципального</w:t>
      </w:r>
      <w:r>
        <w:rPr>
          <w:szCs w:val="22"/>
        </w:rPr>
        <w:t xml:space="preserve"> округа город Шахунья Нижегородской области действуют 35 отопительных котельных из них: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муниципальных – 28 единиц;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7 котельных находятся в ведомстве юридических лиц: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4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</w:t>
      </w:r>
      <w:r>
        <w:rPr>
          <w:szCs w:val="22"/>
        </w:rPr>
        <w:t xml:space="preserve">кционерное </w:t>
      </w:r>
      <w:r>
        <w:rPr>
          <w:szCs w:val="22"/>
        </w:rPr>
        <w:t xml:space="preserve">о</w:t>
      </w:r>
      <w:r>
        <w:rPr>
          <w:szCs w:val="22"/>
        </w:rPr>
        <w:t xml:space="preserve">бщество </w:t>
      </w:r>
      <w:r>
        <w:rPr>
          <w:szCs w:val="22"/>
        </w:rPr>
        <w:t xml:space="preserve">«</w:t>
      </w:r>
      <w:r>
        <w:rPr>
          <w:szCs w:val="22"/>
        </w:rPr>
        <w:t xml:space="preserve">Молоко» -</w:t>
      </w:r>
      <w:r>
        <w:rPr>
          <w:szCs w:val="22"/>
        </w:rPr>
        <w:t xml:space="preserve"> 1 котельная;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4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Открытое акционерное общество «РЖД» - 1 котельная, </w:t>
      </w:r>
      <w:r>
        <w:rPr>
          <w:szCs w:val="22"/>
        </w:rPr>
        <w:t xml:space="preserve">(</w:t>
      </w:r>
      <w:r>
        <w:rPr>
          <w:szCs w:val="22"/>
        </w:rPr>
        <w:t xml:space="preserve">ДТВу-2 филиала ОАО «РЖД»);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4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</w:t>
      </w:r>
      <w:r>
        <w:rPr>
          <w:szCs w:val="22"/>
        </w:rPr>
        <w:t xml:space="preserve">кционерное общество «Дорожное ремонтно-строительное предприятие» - </w:t>
      </w:r>
      <w:r>
        <w:rPr>
          <w:szCs w:val="22"/>
        </w:rPr>
        <w:t xml:space="preserve">1</w:t>
      </w:r>
      <w:r>
        <w:rPr>
          <w:szCs w:val="22"/>
        </w:rPr>
        <w:t xml:space="preserve"> котельная;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4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Общество с ограниченной ответственностью «Гефест» - 1 котельная;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4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Шахунский филиал акционерного общества «Нижегородская областная коммунальная компания» - 1 котельная; 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4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</w:t>
      </w:r>
      <w:r>
        <w:rPr>
          <w:szCs w:val="22"/>
        </w:rPr>
        <w:t xml:space="preserve">бщество </w:t>
      </w:r>
      <w:r>
        <w:rPr>
          <w:szCs w:val="22"/>
        </w:rPr>
        <w:t xml:space="preserve">ограниченной ответственности </w:t>
      </w:r>
      <w:r>
        <w:rPr>
          <w:szCs w:val="22"/>
        </w:rPr>
        <w:t xml:space="preserve">«</w:t>
      </w:r>
      <w:r>
        <w:rPr>
          <w:szCs w:val="22"/>
        </w:rPr>
        <w:t xml:space="preserve">ЭкоТеплоСервис</w:t>
      </w:r>
      <w:r>
        <w:rPr>
          <w:szCs w:val="22"/>
        </w:rPr>
        <w:t xml:space="preserve">-Шахунья» - 1 котельная;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</w:pPr>
      <w:r>
        <w:rPr>
          <w:szCs w:val="22"/>
        </w:rPr>
        <w:t xml:space="preserve">Для объектов, подключенных к системам централизованного отопления и горячего водоснабжения, на территории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определены следующие теплоснабжающие организации:</w:t>
      </w:r>
      <w:r>
        <w:rPr>
          <w:szCs w:val="22"/>
        </w:rPr>
      </w:r>
    </w:p>
    <w:p>
      <w:pPr>
        <w:ind w:firstLine="708"/>
        <w:jc w:val="both"/>
        <w:spacing w:after="12" w:line="268" w:lineRule="auto"/>
      </w:pPr>
      <w:r>
        <w:rPr>
          <w:szCs w:val="22"/>
        </w:rPr>
      </w:r>
      <w:r>
        <w:rPr>
          <w:szCs w:val="22"/>
        </w:rPr>
        <w:t xml:space="preserve"> - Акционерное </w:t>
      </w:r>
      <w:r>
        <w:rPr>
          <w:szCs w:val="22"/>
        </w:rPr>
        <w:t xml:space="preserve">общество </w:t>
      </w:r>
      <w:r>
        <w:rPr>
          <w:szCs w:val="22"/>
        </w:rPr>
        <w:t xml:space="preserve">«Нижегородская </w:t>
      </w:r>
      <w:r>
        <w:rPr>
          <w:szCs w:val="22"/>
        </w:rPr>
        <w:t xml:space="preserve">областная </w:t>
      </w:r>
      <w:r>
        <w:rPr>
          <w:szCs w:val="22"/>
        </w:rPr>
        <w:t xml:space="preserve">коммунальная </w:t>
      </w:r>
      <w:r>
        <w:rPr>
          <w:szCs w:val="22"/>
        </w:rPr>
        <w:t xml:space="preserve">компания» </w:t>
      </w:r>
      <w:r>
        <w:rPr>
          <w:szCs w:val="22"/>
        </w:rPr>
        <w:t xml:space="preserve">Шахунский филиал;</w:t>
      </w:r>
      <w:r>
        <w:rPr>
          <w:szCs w:val="22"/>
        </w:rPr>
      </w:r>
      <w:r/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Акционерное </w:t>
      </w:r>
      <w:r>
        <w:rPr>
          <w:szCs w:val="22"/>
        </w:rPr>
        <w:t xml:space="preserve">о</w:t>
      </w:r>
      <w:r>
        <w:rPr>
          <w:szCs w:val="22"/>
        </w:rPr>
        <w:t xml:space="preserve">бщество «Молоко»;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Акционерное </w:t>
      </w:r>
      <w:r>
        <w:rPr>
          <w:szCs w:val="22"/>
        </w:rPr>
        <w:t xml:space="preserve">о</w:t>
      </w:r>
      <w:r>
        <w:rPr>
          <w:szCs w:val="22"/>
        </w:rPr>
        <w:t xml:space="preserve">бщество «Дорожное ремонтно-строительное предприятие»;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Общество с ограниченной ответственностью </w:t>
      </w:r>
      <w:r>
        <w:rPr>
          <w:szCs w:val="22"/>
        </w:rPr>
        <w:t xml:space="preserve">«Гефест»;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Общество с ограниченной ответственностью </w:t>
      </w:r>
      <w:r>
        <w:rPr>
          <w:szCs w:val="22"/>
        </w:rPr>
        <w:t xml:space="preserve">«</w:t>
      </w:r>
      <w:r>
        <w:rPr>
          <w:szCs w:val="22"/>
        </w:rPr>
        <w:t xml:space="preserve">ЭкоТеплоСервис</w:t>
      </w:r>
      <w:r>
        <w:rPr>
          <w:szCs w:val="22"/>
        </w:rPr>
        <w:t xml:space="preserve">-Шахунья»;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Дирекция по тепловодоснабжению филиала открытого акционерного общества «РЖД» (далее – ДТВУ-2 ОАО «РЖД»);</w:t>
      </w:r>
      <w:r>
        <w:rPr>
          <w:szCs w:val="22"/>
        </w:rPr>
      </w:r>
      <w:r>
        <w:rPr>
          <w:szCs w:val="22"/>
        </w:rPr>
      </w:r>
    </w:p>
    <w:p>
      <w:pPr>
        <w:ind w:right="1575"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-Муниципальное унитарное предприятие «ШОКС»;</w:t>
      </w:r>
      <w:r>
        <w:rPr>
          <w:szCs w:val="22"/>
        </w:rPr>
      </w:r>
      <w:r>
        <w:rPr>
          <w:szCs w:val="22"/>
        </w:rPr>
      </w:r>
    </w:p>
    <w:p>
      <w:pPr>
        <w:ind w:right="1575"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-Индивидуальный предприниматель «Копытова Н.В.».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Мониторинг состояния жилищного фонда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по проведению капитального ремонта многоквартирных домов показал, что большая часть домов находится в неудовлетворительном состоянии и нуждается в капитальном ремонте.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Реализация Муниципальной программы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Определение необходимости проведения капитального ремонта осуществляется на основании  информации об обследовании технического с</w:t>
      </w:r>
      <w:r>
        <w:rPr>
          <w:szCs w:val="22"/>
        </w:rPr>
        <w:t xml:space="preserve">остояния многоквартирных домов, данных технических паспортов, технической документации предоставляемой лицами, осуществляющими управление многоквартирными домами, и информации об обследовании технического состояния многоквартирных домов, данных технических</w:t>
      </w:r>
      <w:r>
        <w:rPr>
          <w:szCs w:val="22"/>
        </w:rPr>
        <w:t xml:space="preserve"> паспортов, технической документации, в отношении многоквартирных домов, находящихся в муниципальной собственности, а также в отношении многоквартирных домов, информация о которых не представлена лицами, осуществляющими управление многоквартирными домами.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Администрация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для уточнения данных и (или) определения приоритетности в необходимости проведения капитального ремонта может формировать комиссию с участием представителей администрации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области, а также представителей лица, осуществляющего управление многоквартирным домом, и (или) регионального оператора (в случае формирования фонда капитального ремонта на счете, счетах регионального оператора) </w:t>
      </w:r>
      <w:r>
        <w:rPr>
          <w:szCs w:val="22"/>
        </w:rPr>
      </w:r>
      <w:r>
        <w:rPr>
          <w:szCs w:val="22"/>
        </w:rPr>
      </w:r>
    </w:p>
    <w:p>
      <w:pPr>
        <w:spacing w:after="25" w:line="259" w:lineRule="auto"/>
        <w:rPr>
          <w:b/>
          <w:bCs/>
        </w:rPr>
      </w:pPr>
      <w:r>
        <w:rPr>
          <w:b/>
          <w:szCs w:val="22"/>
        </w:rPr>
        <w:t xml:space="preserve"> </w:t>
      </w:r>
      <w:r>
        <w:rPr>
          <w:szCs w:val="22"/>
        </w:rPr>
      </w:r>
    </w:p>
    <w:p>
      <w:pPr>
        <w:jc w:val="center"/>
        <w:spacing w:after="25" w:line="259" w:lineRule="auto"/>
      </w:pPr>
      <w:r>
        <w:rPr>
          <w:b/>
          <w:szCs w:val="22"/>
        </w:rPr>
      </w:r>
      <w:r>
        <w:rPr>
          <w:b/>
          <w:szCs w:val="22"/>
        </w:rPr>
        <w:t xml:space="preserve">2.2. Цели и задачи </w:t>
      </w:r>
      <w:r>
        <w:rPr>
          <w:szCs w:val="22"/>
        </w:rPr>
      </w:r>
      <w:r/>
    </w:p>
    <w:p>
      <w:pPr>
        <w:ind w:firstLine="567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Стратегической целью Муниципальной программы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49" w:line="268" w:lineRule="auto"/>
        <w:rPr>
          <w:szCs w:val="22"/>
        </w:rPr>
      </w:pPr>
      <w:r>
        <w:rPr>
          <w:szCs w:val="22"/>
        </w:rPr>
        <w:t xml:space="preserve">Задачи для достижения поставленной цели следующие: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5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Проведение капитального ремонта общего имущества всех многоквартирных домов</w:t>
      </w:r>
      <w:r>
        <w:rPr>
          <w:szCs w:val="22"/>
        </w:rPr>
        <w:t xml:space="preserve">, за исключением: многоквартирных домов, признанных в установленном порядке аварийными и подлежащими сносу; многоквартирных домов, в которых имеется менее чем три квартиры; жилых домов с количеством этажей не более чем три, состоящие из нескольких блоков, </w:t>
      </w:r>
      <w:r>
        <w:rPr>
          <w:szCs w:val="22"/>
        </w:rPr>
        <w:t xml:space="preserve">количество которых не превышает десять и каждый из котор</w:t>
      </w:r>
      <w:r>
        <w:rPr>
          <w:szCs w:val="22"/>
        </w:rPr>
        <w:t xml:space="preserve">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 </w:t>
      </w:r>
      <w:r>
        <w:rPr>
          <w:szCs w:val="22"/>
        </w:rPr>
      </w:r>
      <w:r>
        <w:rPr>
          <w:szCs w:val="22"/>
        </w:rPr>
      </w:r>
    </w:p>
    <w:p>
      <w:pPr>
        <w:ind w:left="0"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Использование эффективных технических решений при проведении капитального ремонта</w:t>
      </w:r>
      <w:r>
        <w:rPr>
          <w:szCs w:val="22"/>
        </w:rPr>
        <w:t xml:space="preserve">;</w:t>
      </w:r>
      <w:r>
        <w:rPr>
          <w:szCs w:val="22"/>
        </w:rPr>
      </w:r>
      <w:r>
        <w:rPr>
          <w:szCs w:val="22"/>
        </w:rPr>
      </w:r>
    </w:p>
    <w:p>
      <w:pPr>
        <w:ind w:right="56" w:firstLine="708"/>
        <w:jc w:val="both"/>
        <w:spacing w:line="259" w:lineRule="auto"/>
        <w:rPr>
          <w:shd w:val="clear" w:color="auto" w:fill="ffffff"/>
        </w:rPr>
      </w:pPr>
      <w:r>
        <w:rPr>
          <w:szCs w:val="22"/>
          <w:shd w:val="clear" w:color="auto" w:fill="ffffff"/>
        </w:rPr>
        <w:t xml:space="preserve">- </w:t>
      </w:r>
      <w:r>
        <w:rPr>
          <w:shd w:val="clear" w:color="auto" w:fill="ffffff"/>
        </w:rPr>
        <w:t xml:space="preserve">«</w:t>
      </w:r>
      <w:r>
        <w:rPr>
          <w:color w:val="000000"/>
        </w:rPr>
        <w:t xml:space="preserve">Газификация городского округа город Шахунья</w:t>
      </w:r>
      <w:r>
        <w:rPr>
          <w:shd w:val="clear" w:color="auto" w:fill="ffffff"/>
        </w:rPr>
        <w:t xml:space="preserve">», Проектные работы по объект</w:t>
      </w:r>
      <w:r>
        <w:rPr>
          <w:shd w:val="clear" w:color="auto" w:fill="ffffff"/>
        </w:rPr>
        <w:t xml:space="preserve">у</w:t>
      </w:r>
      <w:r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(Строительство источника теплоснабжения (</w:t>
      </w:r>
      <w:r>
        <w:rPr>
          <w:shd w:val="clear" w:color="auto" w:fill="ffffff"/>
        </w:rPr>
        <w:t xml:space="preserve">блочно</w:t>
      </w:r>
      <w:r>
        <w:rPr>
          <w:shd w:val="clear" w:color="auto" w:fill="ffffff"/>
        </w:rPr>
        <w:t xml:space="preserve"> - модульной </w:t>
      </w:r>
      <w:r>
        <w:rPr>
          <w:shd w:val="clear" w:color="auto" w:fill="ffffff"/>
        </w:rPr>
        <w:t xml:space="preserve">котельной) </w:t>
      </w:r>
      <w:r>
        <w:rPr>
          <w:shd w:val="clear" w:color="auto" w:fill="ffffff"/>
        </w:rPr>
        <w:t xml:space="preserve">н</w:t>
      </w:r>
      <w:r>
        <w:rPr>
          <w:shd w:val="clear" w:color="auto" w:fill="ffffff"/>
        </w:rPr>
        <w:t xml:space="preserve">а природном газе и реконструкция тепловых сетей в г. Шахунья, для обеспечения жителей теплоснабжением и горячим водоснабжением, проживающих в МКД, расположенных по улице Октябрьская, Карла Маркса, Папанина, Деповская).</w:t>
      </w:r>
      <w:r>
        <w:rPr>
          <w:shd w:val="clear" w:color="auto" w:fill="ffffff"/>
        </w:rPr>
      </w:r>
      <w:r>
        <w:rPr>
          <w:shd w:val="clear" w:color="auto" w:fill="ffffff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8" w:line="271" w:lineRule="auto"/>
        <w:rPr>
          <w:szCs w:val="22"/>
        </w:rPr>
      </w:pPr>
      <w:r>
        <w:rPr>
          <w:b/>
          <w:szCs w:val="22"/>
        </w:rPr>
        <w:t xml:space="preserve">Сроки и этапы реализации Муниципальной программы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1</w:t>
      </w:r>
      <w:r>
        <w:rPr>
          <w:szCs w:val="22"/>
        </w:rPr>
        <w:t xml:space="preserve"> </w:t>
      </w:r>
      <w:r>
        <w:rPr>
          <w:szCs w:val="22"/>
        </w:rPr>
        <w:t xml:space="preserve">«</w:t>
      </w:r>
      <w:r>
        <w:rPr>
          <w:szCs w:val="22"/>
        </w:rPr>
        <w:t xml:space="preserve">Проведение капитального ремонта общего имущества в многоквартирных домах, расположенных на территории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</w:t>
      </w:r>
      <w:r>
        <w:rPr>
          <w:szCs w:val="22"/>
        </w:rPr>
        <w:t xml:space="preserve">»</w:t>
      </w:r>
      <w:r>
        <w:rPr>
          <w:szCs w:val="22"/>
        </w:rPr>
        <w:t xml:space="preserve"> будет реализован</w:t>
      </w:r>
      <w:r>
        <w:rPr>
          <w:szCs w:val="22"/>
        </w:rPr>
        <w:t xml:space="preserve">о</w:t>
      </w:r>
      <w:r>
        <w:rPr>
          <w:szCs w:val="22"/>
        </w:rPr>
        <w:t xml:space="preserve"> в 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годах</w:t>
      </w:r>
      <w:r>
        <w:rPr>
          <w:szCs w:val="22"/>
        </w:rPr>
        <w:t xml:space="preserve">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2</w:t>
      </w:r>
      <w:r>
        <w:rPr>
          <w:szCs w:val="22"/>
        </w:rPr>
        <w:t xml:space="preserve"> </w:t>
      </w:r>
      <w:r>
        <w:rPr>
          <w:szCs w:val="22"/>
        </w:rPr>
        <w:t xml:space="preserve">«</w:t>
      </w:r>
      <w:r>
        <w:rPr>
          <w:szCs w:val="22"/>
        </w:rPr>
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</w:t>
      </w:r>
      <w:r>
        <w:rPr>
          <w:szCs w:val="22"/>
        </w:rPr>
        <w:t xml:space="preserve">»</w:t>
      </w:r>
      <w:r>
        <w:rPr>
          <w:szCs w:val="22"/>
        </w:rPr>
        <w:t xml:space="preserve"> будет реализован</w:t>
      </w:r>
      <w:r>
        <w:rPr>
          <w:szCs w:val="22"/>
        </w:rPr>
        <w:t xml:space="preserve">о</w:t>
      </w:r>
      <w:r>
        <w:rPr>
          <w:szCs w:val="22"/>
        </w:rPr>
        <w:t xml:space="preserve"> в 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годах.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3</w:t>
      </w:r>
      <w:r>
        <w:rPr>
          <w:szCs w:val="22"/>
        </w:rPr>
        <w:t xml:space="preserve"> </w:t>
      </w:r>
      <w:r>
        <w:rPr>
          <w:b/>
          <w:szCs w:val="22"/>
        </w:rPr>
        <w:t xml:space="preserve">«</w:t>
      </w:r>
      <w:r>
        <w:rPr>
          <w:szCs w:val="22"/>
        </w:rPr>
        <w:t xml:space="preserve">Обслуживание объектов жилищно-коммунального хозяйства</w:t>
      </w:r>
      <w:r>
        <w:rPr>
          <w:szCs w:val="22"/>
        </w:rPr>
        <w:t xml:space="preserve">»</w:t>
      </w:r>
      <w:r>
        <w:rPr>
          <w:szCs w:val="22"/>
        </w:rPr>
        <w:t xml:space="preserve"> (Закупка товаров, работ и услуг для обеспечения государственных (муниципальных) нужд</w:t>
      </w:r>
      <w:r>
        <w:rPr>
          <w:szCs w:val="22"/>
        </w:rPr>
        <w:t xml:space="preserve">, </w:t>
      </w:r>
      <w:r>
        <w:rPr>
          <w:szCs w:val="22"/>
        </w:rPr>
        <w:t xml:space="preserve">будет реализован</w:t>
      </w:r>
      <w:r>
        <w:rPr>
          <w:szCs w:val="22"/>
        </w:rPr>
        <w:t xml:space="preserve">о</w:t>
      </w:r>
      <w:r>
        <w:rPr>
          <w:szCs w:val="22"/>
        </w:rPr>
        <w:t xml:space="preserve"> в 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годах</w:t>
      </w:r>
      <w:r>
        <w:rPr>
          <w:szCs w:val="22"/>
        </w:rPr>
        <w:t xml:space="preserve">.</w:t>
      </w:r>
      <w:r>
        <w:rPr>
          <w:szCs w:val="22"/>
        </w:rPr>
      </w:r>
      <w:r>
        <w:rPr>
          <w:szCs w:val="22"/>
        </w:rPr>
      </w:r>
    </w:p>
    <w:p>
      <w:pPr>
        <w:ind w:right="56"/>
        <w:jc w:val="both"/>
        <w:spacing w:line="259" w:lineRule="auto"/>
        <w:rPr>
          <w:szCs w:val="22"/>
        </w:rPr>
      </w:pP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4 </w:t>
      </w:r>
      <w:r>
        <w:rPr>
          <w:shd w:val="clear" w:color="auto" w:fill="ffffff"/>
        </w:rPr>
        <w:t xml:space="preserve">«</w:t>
      </w:r>
      <w:r>
        <w:rPr>
          <w:color w:val="000000"/>
        </w:rPr>
        <w:t xml:space="preserve">Газификация городского округа город Шахунья</w:t>
      </w:r>
      <w:r>
        <w:rPr>
          <w:shd w:val="clear" w:color="auto" w:fill="ffffff"/>
        </w:rPr>
        <w:t xml:space="preserve">», Проектные работы по объект</w:t>
      </w:r>
      <w:r>
        <w:rPr>
          <w:shd w:val="clear" w:color="auto" w:fill="ffffff"/>
        </w:rPr>
        <w:t xml:space="preserve">у</w:t>
      </w:r>
      <w:r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(Строительство источника теплоснабжения (</w:t>
      </w:r>
      <w:r>
        <w:rPr>
          <w:shd w:val="clear" w:color="auto" w:fill="ffffff"/>
        </w:rPr>
        <w:t xml:space="preserve">блочно</w:t>
      </w:r>
      <w:r>
        <w:rPr>
          <w:shd w:val="clear" w:color="auto" w:fill="ffffff"/>
        </w:rPr>
        <w:t xml:space="preserve"> - модульной </w:t>
      </w:r>
      <w:r>
        <w:rPr>
          <w:shd w:val="clear" w:color="auto" w:fill="ffffff"/>
        </w:rPr>
        <w:t xml:space="preserve">котельной) на</w:t>
      </w:r>
      <w:r>
        <w:rPr>
          <w:shd w:val="clear" w:color="auto" w:fill="ffffff"/>
        </w:rPr>
        <w:t xml:space="preserve"> природном газе и реконструкция тепловых сетей в г. Шахунья, для обеспечения жителей теплоснабжением и горячим водоснабжением, проживающих в МКД, расположенных по улице Октябрьская,  Карла  Маркса, Папанина,   Деповская).</w:t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0"/>
        <w:jc w:val="center"/>
        <w:spacing w:after="12" w:line="276" w:lineRule="auto"/>
        <w:rPr>
          <w:b/>
          <w:bCs/>
        </w:rPr>
      </w:pPr>
      <w:r>
        <w:rPr>
          <w:b/>
          <w:szCs w:val="22"/>
        </w:rPr>
        <w:t xml:space="preserve">Перечень основных мероприятий Муниципальной программы </w:t>
      </w:r>
      <w:r>
        <w:rPr>
          <w:szCs w:val="22"/>
        </w:rPr>
      </w:r>
      <w:r>
        <w:rPr>
          <w:szCs w:val="22"/>
          <w:highlight w:val="none"/>
        </w:rPr>
      </w:r>
      <w:r>
        <w:rPr>
          <w:szCs w:val="22"/>
          <w:highlight w:val="none"/>
        </w:rPr>
      </w:r>
      <w:r>
        <w:rPr>
          <w:b/>
          <w:bCs/>
        </w:rPr>
      </w:r>
    </w:p>
    <w:p>
      <w:pPr>
        <w:ind w:left="360" w:firstLine="0"/>
        <w:jc w:val="both"/>
        <w:spacing w:after="12" w:line="276" w:lineRule="auto"/>
        <w:rPr>
          <w:highlight w:val="none"/>
        </w:rPr>
        <w:sectPr>
          <w:headerReference w:type="default" r:id="rId12"/>
          <w:headerReference w:type="even" r:id="rId13"/>
          <w:headerReference w:type="first" r:id="rId14"/>
          <w:footnotePr/>
          <w:endnotePr/>
          <w:type w:val="nextPage"/>
          <w:pgSz w:w="11904" w:h="16838" w:orient="portrait"/>
          <w:pgMar w:top="709" w:right="843" w:bottom="709" w:left="1304" w:header="722" w:footer="720" w:gutter="0"/>
          <w:cols w:num="1" w:sep="0" w:space="720" w:equalWidth="1"/>
          <w:docGrid w:linePitch="360"/>
        </w:sectPr>
      </w:pPr>
      <w:r>
        <w:rPr>
          <w:b/>
          <w:szCs w:val="22"/>
        </w:rPr>
      </w:r>
      <w:r>
        <w:rPr>
          <w:szCs w:val="22"/>
        </w:rPr>
        <w:t xml:space="preserve">Информация об </w:t>
      </w:r>
      <w:r>
        <w:rPr>
          <w:szCs w:val="22"/>
        </w:rPr>
        <w:t xml:space="preserve">основных мероприятиях Муниципальной программы отражена в таблице 1.</w:t>
      </w:r>
      <w:r>
        <w:rPr>
          <w:szCs w:val="22"/>
        </w:rPr>
      </w:r>
      <w:r/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highlight w:val="none"/>
        </w:rPr>
      </w:r>
    </w:p>
    <w:p>
      <w:pPr>
        <w:jc w:val="center"/>
        <w:spacing w:line="259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Таблица 1. Перечень основных мероприятий </w:t>
      </w:r>
      <w:r>
        <w:rPr>
          <w:szCs w:val="22"/>
        </w:rPr>
      </w:r>
      <w:r>
        <w:rPr>
          <w:szCs w:val="22"/>
        </w:rPr>
      </w:r>
    </w:p>
    <w:p>
      <w:pPr>
        <w:ind w:right="5700"/>
        <w:jc w:val="right"/>
        <w:spacing w:line="259" w:lineRule="auto"/>
        <w:rPr>
          <w:szCs w:val="22"/>
        </w:rPr>
      </w:pPr>
      <w:r>
        <w:rPr>
          <w:b/>
          <w:szCs w:val="22"/>
        </w:rPr>
        <w:t xml:space="preserve">Муниципальной программы</w:t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739" w:type="dxa"/>
        <w:tblInd w:w="-427" w:type="dxa"/>
        <w:tblCellMar>
          <w:left w:w="74" w:type="dxa"/>
          <w:top w:w="7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146"/>
        <w:gridCol w:w="1552"/>
        <w:gridCol w:w="1547"/>
        <w:gridCol w:w="2105"/>
        <w:gridCol w:w="1608"/>
        <w:gridCol w:w="1560"/>
        <w:gridCol w:w="1559"/>
        <w:gridCol w:w="1559"/>
        <w:gridCol w:w="1567"/>
      </w:tblGrid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dxa"/>
            <w:vMerge w:val="restart"/>
            <w:textDirection w:val="lrTb"/>
            <w:noWrap w:val="false"/>
          </w:tcPr>
          <w:p>
            <w:pPr>
              <w:spacing w:after="13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none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after="13" w:line="259" w:lineRule="auto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highlight w:val="none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п/п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vMerge w:val="restart"/>
            <w:textDirection w:val="lrTb"/>
            <w:noWrap w:val="false"/>
          </w:tcPr>
          <w:p>
            <w:pPr>
              <w:ind w:right="1"/>
              <w:jc w:val="left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мероприятия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vMerge w:val="restart"/>
            <w:textDirection w:val="lrTb"/>
            <w:noWrap w:val="false"/>
          </w:tcPr>
          <w:p>
            <w:pPr>
              <w:jc w:val="center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расходов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</w:t>
            </w:r>
            <w:r>
              <w:rPr>
                <w:rFonts w:ascii="Times New Roman" w:hAnsi="Times New Roman"/>
              </w:rPr>
              <w:t xml:space="preserve">капвложени</w:t>
            </w:r>
            <w:r>
              <w:rPr>
                <w:rFonts w:ascii="Times New Roman" w:hAnsi="Times New Roman"/>
              </w:rPr>
              <w:t xml:space="preserve"> я, НИОКР, прочие расходы)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vMerge w:val="restart"/>
            <w:textDirection w:val="lrTb"/>
            <w:noWrap w:val="false"/>
          </w:tcPr>
          <w:p>
            <w:pPr>
              <w:jc w:val="left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46" w:line="23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(годы)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5" w:type="dxa"/>
            <w:vMerge w:val="restart"/>
            <w:textDirection w:val="lrTb"/>
            <w:noWrap w:val="false"/>
          </w:tcPr>
          <w:p>
            <w:pPr>
              <w:ind w:right="2"/>
              <w:jc w:val="left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Исполнители мероприятий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53" w:type="dxa"/>
            <w:textDirection w:val="lrTb"/>
            <w:noWrap w:val="false"/>
          </w:tcPr>
          <w:p>
            <w:pPr>
              <w:ind w:right="60"/>
              <w:jc w:val="center"/>
              <w:spacing w:after="1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 финансирования (по годам) за счет средств 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(руб.)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0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111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6" w:type="dxa"/>
            <w:textDirection w:val="lrTb"/>
            <w:noWrap w:val="false"/>
          </w:tcPr>
          <w:p>
            <w:pPr>
              <w:ind w:right="63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Муниципальной программы: создание комфортной среды проживания и жизнедеятельности для человека, которая позволяет не только удовлетворять жилищные потребности, но и обеспечивает высокое качество жизни в целом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>
              <w:rPr>
                <w:rFonts w:ascii="Times New Roman" w:hAnsi="Times New Roman"/>
              </w:rPr>
              <w:t xml:space="preserve"> </w:t>
            </w:r>
            <w:r/>
          </w:p>
        </w:tc>
      </w:tr>
      <w:tr>
        <w:trPr>
          <w:trHeight w:val="838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86" w:type="dxa"/>
            <w:textDirection w:val="lrTb"/>
            <w:noWrap w:val="false"/>
          </w:tcPr>
          <w:p>
            <w:pPr>
              <w:ind w:right="59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Проведению капитального ремонта общего имущества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000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</w:pPr>
            <w:r/>
            <w:r/>
          </w:p>
        </w:tc>
      </w:tr>
      <w:tr>
        <w:trPr>
          <w:trHeight w:val="5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6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46" w:type="dxa"/>
            <w:textDirection w:val="lrTb"/>
            <w:noWrap w:val="false"/>
          </w:tcPr>
          <w:p>
            <w:pPr>
              <w:ind w:right="60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Средства бюджета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муниципального </w:t>
            </w:r>
            <w:r>
              <w:rPr>
                <w:rFonts w:ascii="Times New Roman" w:hAnsi="Times New Roman"/>
              </w:rPr>
              <w:t xml:space="preserve">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области, исходя из общей площади жилых помещений многоквартирного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жилого фонда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9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tabs>
                <w:tab w:val="right" w:pos="2064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состоящего </w:t>
            </w:r>
            <w:r>
              <w:rPr>
                <w:rFonts w:ascii="Times New Roman" w:hAnsi="Times New Roman"/>
              </w:rPr>
              <w:tab/>
              <w:t xml:space="preserve">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собственности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5" w:type="dxa"/>
            <w:textDirection w:val="lrTb"/>
            <w:noWrap w:val="false"/>
          </w:tcPr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8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000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000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000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567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</w:pPr>
            <w:r/>
            <w:r/>
          </w:p>
        </w:tc>
      </w:tr>
    </w:tbl>
    <w:p>
      <w:pPr>
        <w:ind w:right="15690"/>
        <w:spacing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739" w:type="dxa"/>
        <w:tblInd w:w="-427" w:type="dxa"/>
        <w:tblCellMar>
          <w:left w:w="74" w:type="dxa"/>
          <w:top w:w="7" w:type="dxa"/>
          <w:right w:w="16" w:type="dxa"/>
        </w:tblCellMar>
        <w:tblLook w:val="04A0" w:firstRow="1" w:lastRow="0" w:firstColumn="1" w:lastColumn="0" w:noHBand="0" w:noVBand="1"/>
      </w:tblPr>
      <w:tblGrid>
        <w:gridCol w:w="539"/>
        <w:gridCol w:w="159"/>
        <w:gridCol w:w="2156"/>
        <w:gridCol w:w="1435"/>
        <w:gridCol w:w="1520"/>
        <w:gridCol w:w="2126"/>
        <w:gridCol w:w="1559"/>
        <w:gridCol w:w="1662"/>
        <w:gridCol w:w="1525"/>
        <w:gridCol w:w="1633"/>
        <w:gridCol w:w="1425"/>
      </w:tblGrid>
      <w:tr>
        <w:trPr>
          <w:trHeight w:val="1114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5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ind w:left="15"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8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9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5" w:type="dxa"/>
            <w:textDirection w:val="lrTb"/>
            <w:noWrap w:val="false"/>
          </w:tcPr>
          <w:p>
            <w:pPr>
              <w:ind w:right="59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20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1 500 000,00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ind w:left="15"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 5</w:t>
            </w:r>
            <w:r>
              <w:rPr>
                <w:rFonts w:ascii="Times New Roman" w:hAnsi="Times New Roman"/>
              </w:rPr>
              <w:t xml:space="preserve">00 000,0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5" w:type="dxa"/>
            <w:textDirection w:val="lrTb"/>
            <w:noWrap w:val="false"/>
          </w:tcPr>
          <w:p>
            <w:pPr>
              <w:ind w:right="58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  <w:b/>
              </w:rPr>
              <w:t xml:space="preserve"> 3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54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98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20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ind w:right="5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935" w:type="dxa"/>
            <w:textDirection w:val="lrTb"/>
            <w:noWrap w:val="false"/>
          </w:tcPr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 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</w:t>
            </w:r>
            <w:r>
              <w:rPr>
                <w:rFonts w:ascii="Times New Roman" w:hAnsi="Times New Roman"/>
                <w:color w:val="000000"/>
              </w:rPr>
              <w:t xml:space="preserve">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/>
              </w:rPr>
              <w:t xml:space="preserve">Расходы на строительство, реконструкцию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37 575 800,00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4 490 300,00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42 066 100,00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675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98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Проектные работы по объекту: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(Строительство источника теплоснабжения (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модульной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котельной)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н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а природном газе и реконструкция тепловых сетей в г. Шахунья, для обеспечения жителей теплоснабжением и горячим водоснабжением, проживающих в МКД, расположенных по улице Октябрьская, Карла Маркса, Папанина, Деповская).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капвложения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2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жилищно-коммунального хозяйства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архитектурной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город Шахунья Нижегородской области;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37 575 800,00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37 575 800,00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190"/>
        </w:trPr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698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56" w:type="dxa"/>
            <w:textDirection w:val="lrTb"/>
            <w:noWrap w:val="false"/>
          </w:tcPr>
          <w:p>
            <w:pPr>
              <w:ind w:right="60"/>
              <w:spacing w:line="23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Проектные работы по объект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ам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ind w:right="60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котельной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Пасхина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д. 4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котельной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ул. Энгельса д. 18а.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spacing w:line="238" w:lineRule="auto"/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котельной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ул. Советская д. 100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35" w:type="dxa"/>
            <w:textDirection w:val="lrTb"/>
            <w:noWrap w:val="false"/>
          </w:tcPr>
          <w:p>
            <w:pPr>
              <w:spacing w:after="160" w:line="259" w:lineRule="auto"/>
            </w:pPr>
            <w:r>
              <w:rPr>
                <w:rFonts w:ascii="Times New Roman" w:hAnsi="Times New Roman"/>
              </w:rPr>
              <w:t xml:space="preserve">капвложения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20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62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4 490 300,00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25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 xml:space="preserve">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633" w:type="dxa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4 490 300,00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spacing w:after="160" w:line="259" w:lineRule="auto"/>
            </w:pPr>
            <w:r/>
            <w:r/>
          </w:p>
        </w:tc>
      </w:tr>
    </w:tbl>
    <w:p>
      <w:pPr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8" w:line="271" w:lineRule="auto"/>
        <w:rPr>
          <w:szCs w:val="22"/>
        </w:rPr>
      </w:pPr>
      <w:r>
        <w:rPr>
          <w:b/>
          <w:szCs w:val="22"/>
        </w:rPr>
        <w:t xml:space="preserve">Индикаторы достижения цели и непосредственные результаты реализации Муниципальной программы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18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Достижение целей Муниципальной программы будет обеспечено путем достижения следующих целевых значений индикаторов. Информация о составе и значениях индикаторов и непосредственных результатов приводится согласно Таблице 2.</w:t>
      </w:r>
      <w:r>
        <w:rPr>
          <w:szCs w:val="22"/>
        </w:rPr>
      </w:r>
      <w:r>
        <w:rPr>
          <w:szCs w:val="22"/>
        </w:rPr>
      </w:r>
    </w:p>
    <w:p>
      <w:pPr>
        <w:spacing w:after="29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Таблица 2. Сведения об индикаторах и непосредственных результатах</w:t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314" w:type="dxa"/>
        <w:tblInd w:w="-427" w:type="dxa"/>
        <w:tblCellMar>
          <w:left w:w="77" w:type="dxa"/>
          <w:top w:w="7" w:type="dxa"/>
        </w:tblCellMar>
        <w:tblLook w:val="04A0" w:firstRow="1" w:lastRow="0" w:firstColumn="1" w:lastColumn="0" w:noHBand="0" w:noVBand="1"/>
      </w:tblPr>
      <w:tblGrid>
        <w:gridCol w:w="1163"/>
        <w:gridCol w:w="3658"/>
        <w:gridCol w:w="1560"/>
        <w:gridCol w:w="1412"/>
        <w:gridCol w:w="1990"/>
        <w:gridCol w:w="1844"/>
        <w:gridCol w:w="1843"/>
        <w:gridCol w:w="1844"/>
      </w:tblGrid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 п/п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индикатора/непосредственного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ind w:right="59"/>
              <w:jc w:val="center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измерения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93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Значение индикатора/непосредственного результата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отчетный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очередной</w:t>
            </w:r>
            <w:r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очередной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очередной 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7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Проведению капитального ремонта общего имущества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27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 xml:space="preserve">Индикаторы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58" w:type="dxa"/>
            <w:vMerge w:val="restart"/>
            <w:textDirection w:val="lrTb"/>
            <w:noWrap w:val="false"/>
          </w:tcPr>
          <w:p>
            <w:pPr>
              <w:spacing w:line="259" w:lineRule="auto"/>
              <w:tabs>
                <w:tab w:val="center" w:pos="1516" w:leader="none"/>
                <w:tab w:val="right" w:pos="3581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ab/>
              <w:t xml:space="preserve">площадь </w:t>
            </w:r>
            <w:r>
              <w:rPr>
                <w:rFonts w:ascii="Times New Roman" w:hAnsi="Times New Roman"/>
              </w:rPr>
              <w:tab/>
              <w:t xml:space="preserve">капитально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отремонтированных многоквартирных домов составит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 xml:space="preserve">10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8 679,82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8 654, 54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8 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87, 32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564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1.2.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73"/>
              <w:jc w:val="both"/>
              <w:spacing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капитально отремонтированных многоквартирных домов составит.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6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562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по выезду комиссии по обследованию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3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1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7" w:type="dxa"/>
            <w:textDirection w:val="lrTb"/>
            <w:noWrap w:val="false"/>
          </w:tcPr>
          <w:p>
            <w:pPr>
              <w:ind w:right="1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73"/>
              <w:jc w:val="both"/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муниципальных жилых помещений подлежащих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t xml:space="preserve">капитальному ремонту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результаты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3.1.1.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71"/>
              <w:jc w:val="both"/>
              <w:spacing w:after="33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посетителей, пользующихся услугами </w:t>
            </w:r>
            <w:r>
              <w:rPr>
                <w:rFonts w:ascii="Times New Roman" w:hAnsi="Times New Roman"/>
              </w:rPr>
              <w:t xml:space="preserve">в сфере жилищно-</w:t>
            </w:r>
            <w:r>
              <w:rPr>
                <w:rFonts w:ascii="Times New Roman" w:hAnsi="Times New Roman"/>
              </w:rPr>
              <w:t xml:space="preserve">коммунального хозяйства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  <w:t xml:space="preserve">200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5 200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5 20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городского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 xml:space="preserve">Расходы на строительство, реконструкцию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6"/>
        </w:trPr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1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результаты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60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Проектные работы по объекту: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(Строительство источника теплоснабжения (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- модульной    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котельной) на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природном газе и реконструкция тепловых сетей в г. Шахунья, для обеспечения жителей теплоснабжением и горячим водоснабжением, проживающих в МКД, расположенных по улице Октябрьская, Карла Маркса, Папанина, Деповская).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50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658" w:type="dxa"/>
            <w:textDirection w:val="lrTb"/>
            <w:noWrap w:val="false"/>
          </w:tcPr>
          <w:p>
            <w:pPr>
              <w:ind w:right="60"/>
              <w:spacing w:line="23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Проектные работы по объектам: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ind w:right="60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котельной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Пасхина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д.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котельной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ул. Энгельса д. 18а.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котельной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Шахунья,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ул. Советская д. 100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2" w:type="dxa"/>
            <w:textDirection w:val="lrTb"/>
            <w:noWrap w:val="false"/>
          </w:tcPr>
          <w:p>
            <w:pPr>
              <w:ind w:right="7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ind w:right="7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844" w:type="dxa"/>
            <w:textDirection w:val="lrTb"/>
            <w:noWrap w:val="false"/>
          </w:tcPr>
          <w:p>
            <w:pPr>
              <w:ind w:right="74"/>
              <w:jc w:val="center"/>
              <w:spacing w:line="259" w:lineRule="auto"/>
            </w:pPr>
            <w:r/>
            <w:r/>
          </w:p>
        </w:tc>
      </w:tr>
    </w:tbl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</w:r>
      <w:r>
        <w:rPr>
          <w:szCs w:val="22"/>
        </w:rPr>
        <w:t xml:space="preserve">Перечень индикаторов носит открытый характер и предусматривает возможность корректировки в случае потери информативности индикатора (достижение максимального значения или насыщения).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  <w:sectPr>
          <w:headerReference w:type="default" r:id="rId15"/>
          <w:headerReference w:type="even" r:id="rId16"/>
          <w:headerReference w:type="first" r:id="rId17"/>
          <w:footnotePr/>
          <w:endnotePr/>
          <w:type w:val="nextPage"/>
          <w:pgSz w:w="16838" w:h="11904" w:orient="landscape"/>
          <w:pgMar w:top="1253" w:right="1148" w:bottom="1184" w:left="1133" w:header="722" w:footer="720" w:gutter="0"/>
          <w:cols w:num="1" w:sep="0" w:space="720" w:equalWidth="1"/>
          <w:docGrid w:linePitch="360"/>
        </w:sect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8" w:line="271" w:lineRule="auto"/>
        <w:rPr>
          <w:szCs w:val="22"/>
        </w:rPr>
      </w:pPr>
      <w:r>
        <w:rPr>
          <w:b/>
          <w:szCs w:val="22"/>
        </w:rPr>
        <w:t xml:space="preserve">Прогноз сводных показателей муниципальных заданий на оказание муниципальных услуг (работ) Муниципальной программы.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рамках Муниципальной программы не предусматривается оказание муниципальных услуг (работ) физическим и юридическим лицам.</w:t>
      </w:r>
      <w:r>
        <w:rPr>
          <w:szCs w:val="22"/>
        </w:rPr>
      </w:r>
      <w:r>
        <w:rPr>
          <w:szCs w:val="22"/>
        </w:rPr>
      </w:r>
    </w:p>
    <w:p>
      <w:pPr>
        <w:spacing w:after="30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8" w:line="271" w:lineRule="auto"/>
        <w:rPr>
          <w:szCs w:val="22"/>
        </w:rPr>
      </w:pPr>
      <w:r>
        <w:rPr>
          <w:b/>
          <w:szCs w:val="22"/>
        </w:rPr>
        <w:t xml:space="preserve">Участие в реализации Муниципальной программы муниципальных унитарных предприятий, акционерных обществ.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реализации Муниципальной программы не принимают участия муниципальные унитарные предприятия, акционерные общества, общественные, научные и иные организации, а также внебюджетные фонды.</w:t>
      </w:r>
      <w:r>
        <w:rPr>
          <w:szCs w:val="22"/>
        </w:rPr>
      </w:r>
      <w:r>
        <w:rPr>
          <w:szCs w:val="22"/>
        </w:rPr>
      </w:r>
    </w:p>
    <w:p>
      <w:pPr>
        <w:spacing w:after="28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numPr>
          <w:ilvl w:val="1"/>
          <w:numId w:val="6"/>
        </w:numPr>
        <w:ind w:left="1554"/>
        <w:jc w:val="both"/>
        <w:spacing w:after="3" w:line="270" w:lineRule="auto"/>
        <w:rPr>
          <w:szCs w:val="22"/>
        </w:rPr>
      </w:pPr>
      <w:r>
        <w:rPr>
          <w:b/>
          <w:szCs w:val="22"/>
        </w:rPr>
        <w:t xml:space="preserve">Обоснование объема финансовых ресурсов.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0144" w:line="268" w:lineRule="auto"/>
        <w:rPr>
          <w:szCs w:val="22"/>
        </w:rPr>
      </w:pPr>
      <w:r>
        <w:rPr>
          <w:szCs w:val="22"/>
        </w:rPr>
        <w:t xml:space="preserve">Информация по ресурсному обеспечению Муниципальной программы за счет средств бюджета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(с расшифровкой по основным мероприятиям подпрограмм, а также по годам реализации программы) отражается по форме согласно таблицам 3-4.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  <w:sectPr>
          <w:headerReference w:type="default" r:id="rId18"/>
          <w:headerReference w:type="even" r:id="rId19"/>
          <w:headerReference w:type="first" r:id="rId20"/>
          <w:footnotePr/>
          <w:endnotePr/>
          <w:type w:val="nextPage"/>
          <w:pgSz w:w="11904" w:h="16838" w:orient="portrait"/>
          <w:pgMar w:top="850" w:right="567" w:bottom="992" w:left="1276" w:header="720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ind w:right="2561"/>
        <w:jc w:val="center"/>
        <w:keepLines/>
        <w:keepNext/>
        <w:spacing w:after="3" w:line="270" w:lineRule="auto"/>
        <w:rPr>
          <w:b/>
          <w:bCs/>
        </w:rPr>
        <w:outlineLvl w:val="0"/>
      </w:pPr>
      <w:r>
        <w:rPr>
          <w:b/>
          <w:szCs w:val="22"/>
        </w:rPr>
        <w:t xml:space="preserve">Таблица 3. Ресурсное обеспечение реализации Муниципальной программы за счет средств </w:t>
      </w:r>
      <w:r>
        <w:rPr>
          <w:b/>
          <w:bCs/>
        </w:rPr>
      </w:r>
      <w:r>
        <w:rPr>
          <w:b/>
          <w:szCs w:val="22"/>
        </w:rPr>
      </w:r>
    </w:p>
    <w:p>
      <w:pPr>
        <w:ind w:right="2561"/>
        <w:jc w:val="center"/>
        <w:keepLines/>
        <w:keepNext/>
        <w:spacing w:after="3" w:line="270" w:lineRule="auto"/>
        <w:rPr>
          <w:b/>
          <w:bCs/>
        </w:rPr>
        <w:outlineLvl w:val="0"/>
      </w:pPr>
      <w:r>
        <w:rPr>
          <w:b/>
          <w:bCs/>
        </w:rPr>
        <w:t xml:space="preserve">муниципального</w:t>
      </w:r>
      <w:r>
        <w:rPr>
          <w:b/>
          <w:szCs w:val="22"/>
        </w:rPr>
        <w:t xml:space="preserve"> округа город Шахунья Нижегородской области </w:t>
      </w:r>
      <w:r>
        <w:rPr>
          <w:b/>
          <w:szCs w:val="22"/>
        </w:rPr>
      </w:r>
      <w:r/>
    </w:p>
    <w:tbl>
      <w:tblPr>
        <w:tblStyle w:val="1402"/>
        <w:tblW w:w="15771" w:type="dxa"/>
        <w:tblInd w:w="-720" w:type="dxa"/>
        <w:tblCellMar>
          <w:left w:w="74" w:type="dxa"/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2000"/>
        <w:gridCol w:w="2453"/>
        <w:gridCol w:w="4584"/>
        <w:gridCol w:w="1711"/>
        <w:gridCol w:w="1575"/>
        <w:gridCol w:w="1718"/>
        <w:gridCol w:w="1730"/>
      </w:tblGrid>
      <w:tr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after="21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программы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заказчик-координатор, соисполнители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3" w:type="dxa"/>
            <w:textDirection w:val="lrTb"/>
            <w:noWrap w:val="false"/>
          </w:tcPr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Расходы (руб.) год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4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6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</w:t>
            </w:r>
            <w:r>
              <w:rPr>
                <w:rFonts w:ascii="Times New Roman" w:hAnsi="Times New Roman"/>
                <w:lang w:val="en-US"/>
              </w:rPr>
              <w:t xml:space="preserve">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6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6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</w:pPr>
            <w:r/>
            <w:r/>
          </w:p>
        </w:tc>
      </w:tr>
      <w:tr>
        <w:trPr>
          <w:trHeight w:val="281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3" w:type="dxa"/>
            <w:vMerge w:val="restart"/>
            <w:textDirection w:val="lrTb"/>
            <w:noWrap w:val="false"/>
          </w:tcPr>
          <w:p>
            <w:pPr>
              <w:ind w:right="59"/>
              <w:jc w:val="both"/>
              <w:spacing w:after="33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Муниципальной программы: </w:t>
            </w: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Обеспечение населения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 качественными услугами в сфере жилищно-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4 375 </w:t>
            </w:r>
            <w:r>
              <w:rPr>
                <w:rFonts w:ascii="Times New Roman" w:hAnsi="Times New Roman"/>
                <w:color w:val="000000"/>
              </w:rPr>
              <w:t xml:space="preserve">800,00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 xml:space="preserve">4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90</w:t>
            </w: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  <w:color w:val="000000"/>
              </w:rPr>
              <w:t xml:space="preserve">00,00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</w:pPr>
            <w:r/>
            <w:r/>
          </w:p>
        </w:tc>
      </w:tr>
      <w:tr>
        <w:trPr>
          <w:trHeight w:val="55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&lt;*&gt;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  <w:t xml:space="preserve">дминистраци</w:t>
            </w:r>
            <w:r>
              <w:rPr>
                <w:rFonts w:ascii="Times New Roman" w:hAnsi="Times New Roman"/>
              </w:rPr>
              <w:t xml:space="preserve">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</w:pPr>
            <w:r/>
            <w:r/>
          </w:p>
        </w:tc>
      </w:tr>
      <w:tr>
        <w:trPr>
          <w:trHeight w:val="115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ind w:right="60"/>
              <w:jc w:val="both"/>
              <w:spacing w:after="31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 </w:t>
            </w:r>
            <w:r>
              <w:rPr>
                <w:rFonts w:ascii="Times New Roman" w:hAnsi="Times New Roman"/>
              </w:rPr>
              <w:t xml:space="preserve">&lt;**&gt;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ремонта общего имущества 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многоквартирных домах,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</w:t>
            </w:r>
            <w:r>
              <w:rPr>
                <w:rFonts w:ascii="Times New Roman" w:hAnsi="Times New Roman"/>
              </w:rPr>
              <w:t xml:space="preserve">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right="70"/>
              <w:jc w:val="center"/>
              <w:spacing w:line="259" w:lineRule="auto"/>
            </w:pPr>
            <w:r/>
            <w:r/>
          </w:p>
        </w:tc>
      </w:tr>
      <w:tr>
        <w:trPr>
          <w:trHeight w:val="227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 xml:space="preserve"> 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области. &lt;**&gt;  </w:t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3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4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4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7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r/>
            <w:r/>
          </w:p>
          <w:p>
            <w:pPr>
              <w:ind w:right="7"/>
              <w:jc w:val="center"/>
              <w:spacing w:line="259" w:lineRule="auto"/>
            </w:pPr>
            <w:r/>
            <w:r/>
          </w:p>
        </w:tc>
      </w:tr>
      <w:tr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vMerge w:val="restart"/>
            <w:textDirection w:val="lrTb"/>
            <w:noWrap w:val="false"/>
          </w:tcPr>
          <w:p>
            <w:pPr>
              <w:ind w:right="61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ind w:left="17" w:right="68"/>
              <w:jc w:val="center"/>
              <w:spacing w:line="259" w:lineRule="auto"/>
            </w:pPr>
            <w:r/>
            <w:r/>
          </w:p>
        </w:tc>
      </w:tr>
      <w:tr>
        <w:trPr>
          <w:trHeight w:val="229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ind w:right="65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области. &lt;**&gt;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ind w:right="2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r/>
            <w:r/>
          </w:p>
          <w:p>
            <w:pPr>
              <w:ind w:right="5"/>
              <w:jc w:val="center"/>
              <w:spacing w:line="259" w:lineRule="auto"/>
            </w:pPr>
            <w:r/>
            <w:r/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00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2" w:type="dxa"/>
            <w:vMerge w:val="restart"/>
            <w:textDirection w:val="lrTb"/>
            <w:noWrap w:val="false"/>
          </w:tcPr>
          <w:p>
            <w:pPr>
              <w:ind w:right="12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1" w:type="dxa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5" w:type="dxa"/>
            <w:vMerge w:val="restart"/>
            <w:textDirection w:val="lrTb"/>
            <w:noWrap w:val="false"/>
          </w:tcPr>
          <w:p>
            <w:pPr>
              <w:ind w:right="2"/>
              <w:jc w:val="center"/>
              <w:spacing w:after="26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18" w:type="dxa"/>
            <w:vMerge w:val="restart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26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2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ind w:right="5"/>
              <w:jc w:val="center"/>
              <w:spacing w:line="259" w:lineRule="auto"/>
            </w:pPr>
            <w:r/>
            <w:r/>
          </w:p>
        </w:tc>
      </w:tr>
      <w:tr>
        <w:trPr>
          <w:trHeight w:val="315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ind w:right="65"/>
              <w:jc w:val="both"/>
              <w:spacing w:after="31"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bookmarkStart w:id="0" w:name="_Hlk212016595"/>
            <w:r>
              <w:rPr>
                <w:rFonts w:ascii="Times New Roman" w:hAnsi="Times New Roman"/>
              </w:rPr>
              <w:t xml:space="preserve">муниципального</w:t>
            </w:r>
            <w:bookmarkEnd w:id="0"/>
            <w:r>
              <w:rPr>
                <w:rFonts w:ascii="Times New Roman" w:hAnsi="Times New Roman"/>
              </w:rPr>
              <w:t xml:space="preserve"> округа город Шахунья Нижегородской области; &lt;*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</w:rPr>
              <w:t xml:space="preserve">&gt;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71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575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718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727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150"/>
        </w:trPr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4584" w:type="dxa"/>
            <w:textDirection w:val="lrTb"/>
            <w:noWrap w:val="false"/>
          </w:tcPr>
          <w:p>
            <w:pPr>
              <w:ind w:right="65"/>
              <w:jc w:val="both"/>
              <w:spacing w:after="31" w:line="252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1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75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none" w:color="000000" w:sz="4" w:space="0"/>
              <w:right w:val="single" w:color="auto" w:sz="4" w:space="0"/>
            </w:tcBorders>
            <w:tcW w:w="1718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000000" w:sz="4" w:space="0"/>
            </w:tcBorders>
            <w:tcW w:w="1727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98"/>
        </w:trPr>
        <w:tc>
          <w:tcPr>
            <w:gridSpan w:val="7"/>
            <w:tcW w:w="15771" w:type="dxa"/>
            <w:textDirection w:val="lrTb"/>
            <w:noWrap w:val="false"/>
          </w:tcPr>
          <w:p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tbl>
      <w:tblPr>
        <w:tblStyle w:val="1402"/>
        <w:tblpPr w:horzAnchor="margin" w:tblpXSpec="center" w:vertAnchor="text" w:tblpY="-707" w:leftFromText="180" w:topFromText="0" w:rightFromText="180" w:bottomFromText="0"/>
        <w:tblW w:w="15607" w:type="dxa"/>
        <w:tblInd w:w="0" w:type="dxa"/>
        <w:tblCellMar>
          <w:left w:w="74" w:type="dxa"/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1981"/>
        <w:gridCol w:w="2426"/>
        <w:gridCol w:w="4537"/>
        <w:gridCol w:w="1694"/>
        <w:gridCol w:w="1559"/>
        <w:gridCol w:w="1701"/>
        <w:gridCol w:w="1709"/>
      </w:tblGrid>
      <w:tr>
        <w:trPr>
          <w:trHeight w:val="38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26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color w:val="000000"/>
              </w:rPr>
              <w:t xml:space="preserve">Газификация </w:t>
            </w:r>
            <w:r>
              <w:rPr>
                <w:rFonts w:ascii="Times New Roman" w:hAnsi="Times New Roman"/>
                <w:color w:val="000000"/>
              </w:rPr>
              <w:t xml:space="preserve">муниципального</w:t>
            </w:r>
            <w:r>
              <w:rPr>
                <w:rFonts w:ascii="Times New Roman" w:hAnsi="Times New Roman"/>
                <w:color w:val="000000"/>
              </w:rPr>
              <w:t xml:space="preserve"> округа город 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Расходы на строительство, реконструкцию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(модернизацию), приобретение объектов, выполнение мероприятий по разработке проектно-сметной документации объектов теплоснабжения в рамках адресной инвестиционной программы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37</w:t>
            </w:r>
            <w:r>
              <w:rPr>
                <w:rFonts w:ascii="Times New Roman" w:hAnsi="Times New Roman"/>
                <w:color w:val="000000"/>
              </w:rPr>
              <w:t xml:space="preserve">5</w:t>
            </w:r>
            <w:r>
              <w:rPr>
                <w:rFonts w:ascii="Times New Roman" w:hAnsi="Times New Roman"/>
                <w:color w:val="000000"/>
              </w:rPr>
              <w:t xml:space="preserve"> 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900 000</w:t>
            </w:r>
            <w:r>
              <w:rPr>
                <w:rFonts w:ascii="Times New Roman" w:hAnsi="Times New Roman"/>
              </w:rPr>
              <w:t xml:space="preserve">,00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textDirection w:val="lrTb"/>
            <w:noWrap w:val="false"/>
          </w:tcPr>
          <w:p>
            <w:pPr>
              <w:ind w:right="68"/>
              <w:jc w:val="center"/>
              <w:spacing w:line="259" w:lineRule="auto"/>
            </w:pPr>
            <w:r/>
            <w:r/>
          </w:p>
        </w:tc>
      </w:tr>
      <w:tr>
        <w:trPr>
          <w:trHeight w:val="67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94" w:type="dxa"/>
            <w:vMerge w:val="restart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right="2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709" w:type="dxa"/>
            <w:vMerge w:val="restart"/>
            <w:textDirection w:val="lrTb"/>
            <w:noWrap w:val="false"/>
          </w:tcPr>
          <w:p>
            <w:r/>
            <w:r/>
          </w:p>
          <w:p>
            <w:pPr>
              <w:ind w:right="5"/>
              <w:jc w:val="center"/>
              <w:spacing w:line="259" w:lineRule="auto"/>
            </w:pPr>
            <w:r/>
            <w:r/>
          </w:p>
        </w:tc>
      </w:tr>
      <w:tr>
        <w:trPr>
          <w:trHeight w:val="2235"/>
        </w:trPr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7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 &lt;*</w:t>
            </w:r>
            <w:r>
              <w:rPr>
                <w:rFonts w:ascii="Times New Roman" w:hAnsi="Times New Roman"/>
              </w:rPr>
              <w:t xml:space="preserve">*</w:t>
            </w:r>
            <w:r>
              <w:rPr>
                <w:rFonts w:ascii="Times New Roman" w:hAnsi="Times New Roman"/>
              </w:rPr>
              <w:t xml:space="preserve">&gt;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4" w:type="dxa"/>
            <w:vMerge w:val="continue"/>
            <w:textDirection w:val="lrTb"/>
            <w:noWrap w:val="false"/>
          </w:tcPr>
          <w:p>
            <w:pPr>
              <w:ind w:right="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ind w:right="2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709" w:type="dxa"/>
            <w:vMerge w:val="continue"/>
            <w:textDirection w:val="lrTb"/>
            <w:noWrap w:val="false"/>
          </w:tcPr>
          <w:p>
            <w:pPr>
              <w:ind w:right="5"/>
              <w:jc w:val="center"/>
              <w:spacing w:after="429" w:line="259" w:lineRule="auto"/>
            </w:pPr>
            <w:r/>
            <w:r/>
          </w:p>
        </w:tc>
      </w:tr>
    </w:tbl>
    <w:p>
      <w:pPr>
        <w:spacing w:after="10" w:line="120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10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&lt;*&gt; - заказчик-координатор;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&lt;**&gt; - соисполнитель.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b/>
          <w:szCs w:val="22"/>
        </w:rPr>
      </w:pPr>
      <w:r>
        <w:rPr>
          <w:b/>
          <w:szCs w:val="22"/>
        </w:rPr>
        <w:t xml:space="preserve">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right="4235"/>
        <w:jc w:val="right"/>
        <w:spacing w:after="26" w:line="259" w:lineRule="auto"/>
        <w:rPr>
          <w:b/>
          <w:szCs w:val="22"/>
        </w:rPr>
      </w:pPr>
      <w:r>
        <w:rPr>
          <w:b/>
          <w:szCs w:val="22"/>
        </w:rPr>
      </w:r>
      <w:r>
        <w:rPr>
          <w:b/>
          <w:szCs w:val="22"/>
        </w:rPr>
      </w:r>
      <w:r>
        <w:rPr>
          <w:b/>
          <w:szCs w:val="22"/>
        </w:rPr>
      </w:r>
    </w:p>
    <w:p>
      <w:pPr>
        <w:ind w:right="4235"/>
        <w:jc w:val="right"/>
        <w:spacing w:after="26" w:line="259" w:lineRule="auto"/>
        <w:rPr>
          <w:b/>
          <w:szCs w:val="22"/>
        </w:rPr>
      </w:pPr>
      <w:r>
        <w:rPr>
          <w:b/>
          <w:szCs w:val="22"/>
        </w:rPr>
      </w:r>
      <w:r>
        <w:rPr>
          <w:b/>
          <w:szCs w:val="22"/>
        </w:rPr>
      </w:r>
      <w:r>
        <w:rPr>
          <w:b/>
          <w:szCs w:val="22"/>
        </w:rPr>
      </w:r>
    </w:p>
    <w:p>
      <w:pPr>
        <w:ind w:right="4235"/>
        <w:jc w:val="right"/>
        <w:spacing w:after="26" w:line="259" w:lineRule="auto"/>
        <w:rPr>
          <w:szCs w:val="22"/>
        </w:rPr>
      </w:pPr>
      <w:r>
        <w:rPr>
          <w:b/>
          <w:szCs w:val="22"/>
        </w:rPr>
        <w:t xml:space="preserve">Таблица 4. Прогнозная оценка расходов на реализацию </w:t>
      </w:r>
      <w:r>
        <w:rPr>
          <w:szCs w:val="22"/>
        </w:rPr>
      </w:r>
      <w:r>
        <w:rPr>
          <w:szCs w:val="22"/>
        </w:rPr>
      </w:r>
    </w:p>
    <w:p>
      <w:pPr>
        <w:ind w:right="4375"/>
        <w:jc w:val="right"/>
        <w:spacing w:line="259" w:lineRule="auto"/>
        <w:rPr>
          <w:szCs w:val="22"/>
        </w:rPr>
      </w:pPr>
      <w:r>
        <w:rPr>
          <w:b/>
          <w:szCs w:val="22"/>
        </w:rPr>
        <w:t xml:space="preserve">Муниципальной программы за счет всех источников </w:t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422" w:type="dxa"/>
        <w:tblInd w:w="-540" w:type="dxa"/>
        <w:tblCellMar>
          <w:left w:w="74" w:type="dxa"/>
          <w:top w:w="7" w:type="dxa"/>
          <w:right w:w="14" w:type="dxa"/>
        </w:tblCellMar>
        <w:tblLook w:val="04A0" w:firstRow="1" w:lastRow="0" w:firstColumn="1" w:lastColumn="0" w:noHBand="0" w:noVBand="1"/>
      </w:tblPr>
      <w:tblGrid>
        <w:gridCol w:w="1817"/>
        <w:gridCol w:w="2971"/>
        <w:gridCol w:w="4254"/>
        <w:gridCol w:w="1693"/>
        <w:gridCol w:w="1701"/>
        <w:gridCol w:w="1560"/>
        <w:gridCol w:w="1426"/>
      </w:tblGrid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vMerge w:val="restart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Источники финансирования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80" w:type="dxa"/>
            <w:textDirection w:val="lrTb"/>
            <w:noWrap w:val="false"/>
          </w:tcPr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Оценка расходы (тыс. руб.), годы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8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6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программа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Обеспечение населения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округа город Шахунья Нижегородской области качественными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услугами в сфере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41 575 800,00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8 490 300,00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 xml:space="preserve">375 80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,00</w:t>
            </w:r>
            <w:r>
              <w:rPr>
                <w:rFonts w:ascii="Times New Roman" w:hAnsi="Times New Roman"/>
                <w:lang w:val="en-US"/>
              </w:rPr>
            </w:r>
            <w:r>
              <w:rPr>
                <w:rFonts w:ascii="Times New Roman" w:hAnsi="Times New Roman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</w:rPr>
              <w:t xml:space="preserve">9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 0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37 200 000,00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3 590 300,00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2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3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2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Проведению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капитального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7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ремонта общего имущества в многоквартирных домах,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расположенных </w:t>
            </w:r>
            <w:r>
              <w:rPr>
                <w:rFonts w:ascii="Times New Roman" w:hAnsi="Times New Roman"/>
              </w:rPr>
              <w:tab/>
              <w:t xml:space="preserve">на территории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7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254" w:type="dxa"/>
            <w:vMerge w:val="restart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693" w:type="dxa"/>
            <w:vMerge w:val="restart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426" w:type="dxa"/>
            <w:vMerge w:val="restart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4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vMerge w:val="continue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42" w:leader="none"/>
                <w:tab w:val="center" w:pos="1580" w:leader="none"/>
                <w:tab w:val="center" w:pos="3117" w:leader="none"/>
                <w:tab w:val="center" w:pos="4039" w:leader="none"/>
              </w:tabs>
              <w:rPr>
                <w:rFonts w:ascii="Times New Roman" w:hAnsi="Times New Roman"/>
              </w:rPr>
            </w:pPr>
            <w:r>
              <w:rPr>
                <w:rFonts w:eastAsia="Calibri" w:cs="Calibri"/>
              </w:rPr>
              <w:tab/>
            </w: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2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ind w:right="60"/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</w:t>
            </w:r>
            <w:r>
              <w:rPr>
                <w:rFonts w:ascii="Times New Roman" w:hAnsi="Times New Roman"/>
              </w:rPr>
              <w:t xml:space="preserve">Проведение капитального ремонта муниципальных </w:t>
            </w:r>
            <w:r>
              <w:rPr>
                <w:rFonts w:ascii="Times New Roman" w:hAnsi="Times New Roman"/>
              </w:rPr>
              <w:t xml:space="preserve">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/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42" w:leader="none"/>
                <w:tab w:val="center" w:pos="1014" w:leader="none"/>
                <w:tab w:val="center" w:pos="2320" w:leader="none"/>
                <w:tab w:val="center" w:pos="3652" w:leader="none"/>
              </w:tabs>
              <w:rPr>
                <w:rFonts w:ascii="Times New Roman" w:hAnsi="Times New Roman"/>
              </w:rPr>
            </w:pPr>
            <w:r>
              <w:rPr>
                <w:rFonts w:eastAsia="Calibri" w:cs="Calibri"/>
              </w:rPr>
              <w:tab/>
            </w: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42" w:leader="none"/>
                <w:tab w:val="center" w:pos="1580" w:leader="none"/>
                <w:tab w:val="center" w:pos="3117" w:leader="none"/>
                <w:tab w:val="center" w:pos="4039" w:leader="none"/>
              </w:tabs>
              <w:rPr>
                <w:rFonts w:ascii="Times New Roman" w:hAnsi="Times New Roman"/>
              </w:rPr>
            </w:pPr>
            <w:r>
              <w:rPr>
                <w:rFonts w:eastAsia="Calibri" w:cs="Calibri"/>
              </w:rPr>
              <w:tab/>
            </w: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8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7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ind w:right="2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>
              <w:t xml:space="preserve">0</w:t>
            </w:r>
            <w:r/>
          </w:p>
        </w:tc>
      </w:tr>
      <w:tr>
        <w:trPr>
          <w:trHeight w:val="88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</w:pPr>
            <w:r>
              <w:t xml:space="preserve">0</w:t>
            </w:r>
            <w:r/>
          </w:p>
        </w:tc>
      </w:tr>
      <w:tr>
        <w:trPr>
          <w:trHeight w:val="91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spacing w:after="160" w:line="259" w:lineRule="auto"/>
            </w:pPr>
            <w:r/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2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after="44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26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0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59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5"/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17" w:type="dxa"/>
            <w:vMerge w:val="restart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ind w:right="56"/>
              <w:jc w:val="both"/>
              <w:spacing w:line="259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Газификация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округа город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Расходы на строительство, реконструкцию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(модернизацию), приобретение объектов, выполнение мероприятий по разработке проектно-сметной документации объектов теплоснабжения в рамках адресной </w:t>
            </w:r>
            <w:r>
              <w:rPr>
                <w:rFonts w:ascii="Times New Roman" w:hAnsi="Times New Roman"/>
              </w:rPr>
              <w:t xml:space="preserve">инвестиционной программы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 (1) + (2) + (3) + (4) + (5) + (6) +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37 575 800,00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4 490 300,00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(1) расходы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375 800</w:t>
            </w:r>
            <w:r>
              <w:rPr>
                <w:rFonts w:ascii="Times New Roman" w:hAnsi="Times New Roman"/>
                <w:color w:val="000000"/>
              </w:rPr>
              <w:t xml:space="preserve">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900 000,00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ind w:right="58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014" w:leader="none"/>
                <w:tab w:val="center" w:pos="2320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(2) </w:t>
            </w:r>
            <w:r>
              <w:rPr>
                <w:rFonts w:ascii="Times New Roman" w:hAnsi="Times New Roman"/>
              </w:rPr>
              <w:tab/>
              <w:t xml:space="preserve">расходы </w:t>
            </w:r>
            <w:r>
              <w:rPr>
                <w:rFonts w:ascii="Times New Roman" w:hAnsi="Times New Roman"/>
              </w:rPr>
              <w:tab/>
              <w:t xml:space="preserve">областного </w:t>
            </w:r>
            <w:r>
              <w:rPr>
                <w:rFonts w:ascii="Times New Roman" w:hAnsi="Times New Roman"/>
              </w:rPr>
              <w:tab/>
              <w:t xml:space="preserve">бюджета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Нижегородской области**)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37 200 000,00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3 590 300,00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2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(3) расходы государственных внебюджетных фондов Российской Федерации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8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ind w:right="63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(4) расходы территориальных государственных внебюджетных фондов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28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(5) федеральный бюджет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spacing w:after="29" w:line="259" w:lineRule="auto"/>
              <w:tabs>
                <w:tab w:val="center" w:pos="1580" w:leader="none"/>
                <w:tab w:val="center" w:pos="3117" w:leader="none"/>
                <w:tab w:val="right" w:pos="4165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(6) </w:t>
            </w:r>
            <w:r>
              <w:rPr>
                <w:rFonts w:ascii="Times New Roman" w:hAnsi="Times New Roman"/>
              </w:rPr>
              <w:tab/>
              <w:t xml:space="preserve">юридические </w:t>
            </w:r>
            <w:r>
              <w:rPr>
                <w:rFonts w:ascii="Times New Roman" w:hAnsi="Times New Roman"/>
              </w:rPr>
              <w:tab/>
              <w:t xml:space="preserve">лица 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индивидуальные предприниматели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  <w:tr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1" w:type="dxa"/>
            <w:vMerge w:val="continue"/>
            <w:textDirection w:val="lrTb"/>
            <w:noWrap w:val="false"/>
          </w:tcPr>
          <w:p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4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(7) прочие источники (собственные средства населения и др.)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3" w:type="dxa"/>
            <w:textDirection w:val="lrTb"/>
            <w:noWrap w:val="false"/>
          </w:tcPr>
          <w:p>
            <w:pPr>
              <w:ind w:right="62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26" w:type="dxa"/>
            <w:textDirection w:val="lrTb"/>
            <w:noWrap w:val="false"/>
          </w:tcPr>
          <w:p>
            <w:pPr>
              <w:jc w:val="center"/>
              <w:spacing w:line="259" w:lineRule="auto"/>
            </w:pPr>
            <w:r/>
            <w:r/>
          </w:p>
        </w:tc>
      </w:tr>
    </w:tbl>
    <w:p>
      <w:pPr>
        <w:jc w:val="both"/>
        <w:spacing w:after="12" w:line="268" w:lineRule="auto"/>
        <w:rPr>
          <w:sz w:val="18"/>
          <w:szCs w:val="18"/>
        </w:rPr>
      </w:pPr>
      <w:r>
        <w:rPr>
          <w:sz w:val="18"/>
          <w:szCs w:val="18"/>
        </w:rPr>
        <w:t xml:space="preserve">Примечание: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12" w:line="268" w:lineRule="auto"/>
        <w:rPr>
          <w:sz w:val="18"/>
          <w:szCs w:val="18"/>
        </w:rPr>
      </w:pPr>
      <w:r>
        <w:rPr>
          <w:sz w:val="18"/>
          <w:szCs w:val="18"/>
        </w:rPr>
        <w:t xml:space="preserve">*) расходы областного бюджета </w:t>
      </w:r>
      <w:r>
        <w:rPr>
          <w:sz w:val="18"/>
          <w:szCs w:val="18"/>
        </w:rPr>
        <w:t xml:space="preserve">муниципального</w:t>
      </w:r>
      <w:r>
        <w:rPr>
          <w:sz w:val="18"/>
          <w:szCs w:val="18"/>
        </w:rPr>
        <w:t xml:space="preserve"> округа город Шахунья Нижегородской области указываются в соответствии с ресурсным обеспечением реализации муниципальной программы за счет средств местного бюджета;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12" w:line="268" w:lineRule="auto"/>
        <w:rPr>
          <w:sz w:val="18"/>
          <w:szCs w:val="18"/>
        </w:rPr>
      </w:pPr>
      <w:r>
        <w:rPr>
          <w:sz w:val="18"/>
          <w:szCs w:val="18"/>
        </w:rPr>
        <w:t xml:space="preserve">**) расходы областного бюджета указываются в соответствии с ресурсным обеспечением реализации программы за счет средств областного бюджета. 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spacing w:after="12" w:line="268" w:lineRule="auto"/>
        <w:rPr>
          <w:szCs w:val="22"/>
        </w:rPr>
        <w:sectPr>
          <w:headerReference w:type="default" r:id="rId21"/>
          <w:headerReference w:type="even" r:id="rId22"/>
          <w:headerReference w:type="first" r:id="rId23"/>
          <w:footnotePr/>
          <w:endnotePr/>
          <w:type w:val="nextPage"/>
          <w:pgSz w:w="16838" w:h="11904" w:orient="landscape"/>
          <w:pgMar w:top="1253" w:right="1139" w:bottom="567" w:left="1133" w:header="722" w:footer="720" w:gutter="0"/>
          <w:cols w:num="1" w:sep="0" w:space="720" w:equalWidth="1"/>
          <w:docGrid w:linePitch="360"/>
        </w:sect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29" w:line="259" w:lineRule="auto"/>
        <w:rPr>
          <w:szCs w:val="22"/>
        </w:rPr>
      </w:pPr>
      <w:r>
        <w:rPr>
          <w:szCs w:val="22"/>
        </w:rPr>
      </w:r>
      <w:r>
        <w:rPr>
          <w:b/>
          <w:szCs w:val="22"/>
        </w:rPr>
        <w:t xml:space="preserve">2.9. Анализ рисков реализации Муниципальной программы </w:t>
      </w:r>
      <w:r>
        <w:rPr>
          <w:szCs w:val="22"/>
        </w:rPr>
      </w:r>
      <w:r>
        <w:rPr>
          <w:szCs w:val="22"/>
        </w:rPr>
      </w:r>
    </w:p>
    <w:p>
      <w:pPr>
        <w:ind w:firstLine="567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К рискам реализации Муниципальной программы следует отнести следующие риски: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7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Орг</w:t>
      </w:r>
      <w:r>
        <w:rPr>
          <w:szCs w:val="22"/>
        </w:rPr>
        <w:t xml:space="preserve">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7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Риск финансового обеспечения, который связан: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8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с неполным выделением бюджетных средств в рамках одного года на реализацию программных </w:t>
      </w:r>
      <w:r>
        <w:rPr>
          <w:szCs w:val="22"/>
        </w:rPr>
        <w:t xml:space="preserve">мероприятий, вследствие чего могут измениться запланированные сроки выполнения мероприятий и могут подвергнуться корректировке целевые индикаторы эффективности реализации Муниципальной программы, что потребует внесения изменений в Муниципальную программу;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Реализации Муниципальной программы также угрожают следующие риски, которые связаны с изменениями внешней среды и которыми невозможно управлять в рамках реализации программных мероприятий: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8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риск ухудшения состояния экономики, что может привести к снижению бю</w:t>
      </w:r>
      <w:r>
        <w:rPr>
          <w:szCs w:val="22"/>
        </w:rPr>
        <w:t xml:space="preserve">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достаточно высокую зависимость экономики России от мировых цен на углеводородные</w:t>
      </w:r>
      <w:r>
        <w:rPr>
          <w:szCs w:val="22"/>
        </w:rPr>
        <w:t xml:space="preserve"> ресурсы, а также опыт последнего финансово-экономического кризиса, который оказал существенное негативное влияние на динамику основных показателей строительства, такой риск для реализации Муниципальной программы может быть качественно оценен как высокий; </w:t>
      </w:r>
      <w:r>
        <w:rPr>
          <w:szCs w:val="22"/>
        </w:rPr>
      </w:r>
      <w:r>
        <w:rPr>
          <w:szCs w:val="22"/>
        </w:rPr>
      </w:r>
    </w:p>
    <w:p>
      <w:pPr>
        <w:numPr>
          <w:ilvl w:val="0"/>
          <w:numId w:val="8"/>
        </w:num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состояния жилищного фонд</w:t>
      </w:r>
      <w:r>
        <w:rPr>
          <w:szCs w:val="22"/>
        </w:rPr>
        <w:t xml:space="preserve">а и коммунальной инфраструктуры в отдельных муниципалитетах, а также потребовать концентрации средств областного бюджета на преодоление последствий таких катастроф. На качественном уровне такой риск для Муниципальной программы можно оценить как умеренный.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2.10. Оценка эффективности Муниципальной программы</w:t>
      </w:r>
      <w:r>
        <w:rPr>
          <w:szCs w:val="22"/>
        </w:rPr>
      </w:r>
      <w:r>
        <w:rPr>
          <w:szCs w:val="22"/>
        </w:rPr>
      </w:r>
    </w:p>
    <w:p>
      <w:pPr>
        <w:ind w:firstLine="567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Оценка эффективности Муниципальной программы определяется достижением непосредственных результатов, а также плановыми значениями целевых индикаторов. В результате реализации Муниципальной программы будет обеспечено: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создание безопасных и благоприятных условий проживания граждан; 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улучшение эксплуатационных характеристик общего имущества в многоквартирных домах;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обеспечение сохранности многоквартирных домов и улучшение комфортности проживания в них граждан;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</w:t>
      </w:r>
      <w:r>
        <w:rPr>
          <w:szCs w:val="22"/>
        </w:rPr>
        <w:t xml:space="preserve"> </w:t>
      </w:r>
      <w:r>
        <w:rPr>
          <w:szCs w:val="22"/>
        </w:rPr>
        <w:t xml:space="preserve">приведение многоквартирных домов, участвующих в капитальном ремонте, в соответствие с требованиями энергоэффективности, действующими на момент выполнения капитального ремонта.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Положительный эффект Муниципальной программы также заключается в повышении энергоэффективности жилищного фонда и оптимизация затрат по его эксплуатации.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Эффективность реализации Муниципальной программы оценивается на основании сопоставления фактически достигнутых значений целевых индикаторов с их плановыми значениями с учетом уровня финансирования.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spacing w:after="23" w:line="259" w:lineRule="auto"/>
        <w:rPr>
          <w:szCs w:val="22"/>
        </w:rPr>
      </w:pP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Оценка эффективности осуществляется следующим путем: 1) Оценивается степень достижения каждого индикатора по формуле: </w:t>
      </w:r>
      <w:r>
        <w:rPr>
          <w:szCs w:val="22"/>
        </w:rPr>
      </w:r>
      <w:r>
        <w:rPr>
          <w:szCs w:val="22"/>
        </w:rPr>
      </w:r>
    </w:p>
    <w:p>
      <w:pPr>
        <w:spacing w:after="22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Значение индикатора (факт) </w:t>
      </w:r>
      <w:r>
        <w:rPr>
          <w:szCs w:val="22"/>
        </w:rPr>
      </w:r>
      <w:r>
        <w:rPr>
          <w:szCs w:val="22"/>
        </w:rPr>
      </w:r>
    </w:p>
    <w:p>
      <w:pPr>
        <w:ind w:right="1499"/>
        <w:jc w:val="both"/>
        <w:spacing w:after="39" w:line="216" w:lineRule="auto"/>
        <w:rPr>
          <w:szCs w:val="22"/>
        </w:rPr>
      </w:pPr>
      <w:r>
        <w:rPr>
          <w:szCs w:val="22"/>
        </w:rPr>
        <w:t xml:space="preserve">Достижение </w:t>
      </w:r>
      <w:r>
        <w:rPr>
          <w:szCs w:val="22"/>
        </w:rPr>
        <w:tab/>
      </w: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71165" cy="6350"/>
                <wp:effectExtent l="0" t="0" r="0" b="3810"/>
                <wp:docPr id="2" name="Group 54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165" cy="6350"/>
                          <a:chOff x="0" y="0"/>
                          <a:chExt cx="29709" cy="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09" cy="91"/>
                          </a:xfrm>
                          <a:custGeom>
                            <a:avLst/>
                            <a:gdLst>
                              <a:gd name="T0" fmla="*/ 0 w 2970911"/>
                              <a:gd name="T1" fmla="*/ 0 h 9144"/>
                              <a:gd name="T2" fmla="*/ 2970911 w 2970911"/>
                              <a:gd name="T3" fmla="*/ 0 h 9144"/>
                              <a:gd name="T4" fmla="*/ 2970911 w 2970911"/>
                              <a:gd name="T5" fmla="*/ 9144 h 9144"/>
                              <a:gd name="T6" fmla="*/ 0 w 2970911"/>
                              <a:gd name="T7" fmla="*/ 9144 h 9144"/>
                              <a:gd name="T8" fmla="*/ 0 w 2970911"/>
                              <a:gd name="T9" fmla="*/ 0 h 9144"/>
                              <a:gd name="T10" fmla="*/ 0 w 2970911"/>
                              <a:gd name="T11" fmla="*/ 0 h 9144"/>
                              <a:gd name="T12" fmla="*/ 2970911 w 297091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70911" h="9144" fill="norm" stroke="1" extrusionOk="0">
                                <a:moveTo>
                                  <a:pt x="0" y="0"/>
                                </a:moveTo>
                                <a:lnTo>
                                  <a:pt x="2970911" y="0"/>
                                </a:lnTo>
                                <a:lnTo>
                                  <a:pt x="2970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0000" style="width:233.95pt;height:0.50pt;mso-wrap-distance-left:0.00pt;mso-wrap-distance-top:0.00pt;mso-wrap-distance-right:0.00pt;mso-wrap-distance-bottom:0.00pt;" coordorigin="0,0" coordsize="297,0">
                <v:shape id="shape 2" o:spid="_x0000_s2" style="position:absolute;left:0;top:0;width:297;height:0;visibility:visible;" path="m0,0l100000,0l100000,99998l0,99998l0,0e" coordsize="100000,100000" fillcolor="#000000" stroked="f">
                  <v:path textboxrect="0,0,100000,100000"/>
                </v:shape>
              </v:group>
            </w:pict>
          </mc:Fallback>
        </mc:AlternateContent>
      </w:r>
      <w:r>
        <w:rPr>
          <w:sz w:val="37"/>
          <w:szCs w:val="22"/>
          <w:vertAlign w:val="subscript"/>
        </w:rPr>
        <w:t xml:space="preserve">индикатора</w:t>
      </w:r>
      <w:r>
        <w:rPr>
          <w:szCs w:val="22"/>
        </w:rPr>
        <w:t xml:space="preserve"> </w:t>
      </w:r>
      <w:r>
        <w:rPr>
          <w:szCs w:val="22"/>
        </w:rPr>
        <w:tab/>
        <w:t xml:space="preserve">= Значение индикатора (план) утвержденное </w:t>
      </w:r>
      <w:r>
        <w:rPr>
          <w:szCs w:val="22"/>
        </w:rPr>
        <w:tab/>
      </w:r>
      <w:r>
        <w:rPr>
          <w:sz w:val="37"/>
          <w:szCs w:val="22"/>
          <w:vertAlign w:val="superscript"/>
        </w:rPr>
        <w:t xml:space="preserve">х </w:t>
      </w:r>
      <w:r>
        <w:rPr>
          <w:sz w:val="37"/>
          <w:szCs w:val="22"/>
          <w:vertAlign w:val="superscript"/>
        </w:rPr>
        <w:tab/>
        <w:t xml:space="preserve">100%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Муниципальной программой </w:t>
      </w:r>
      <w:r>
        <w:rPr>
          <w:szCs w:val="22"/>
        </w:rPr>
      </w:r>
      <w:r>
        <w:rPr>
          <w:szCs w:val="22"/>
        </w:rPr>
      </w:r>
    </w:p>
    <w:p>
      <w:pPr>
        <w:spacing w:after="23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2)Рассчитывается степень достижения индикаторов в среднем по Муниципальной программе:  </w:t>
      </w:r>
      <w:r>
        <w:rPr>
          <w:szCs w:val="22"/>
        </w:rPr>
      </w:r>
      <w:r>
        <w:rPr>
          <w:szCs w:val="22"/>
        </w:rPr>
      </w:r>
    </w:p>
    <w:p>
      <w:pPr>
        <w:spacing w:after="76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222" w:line="268" w:lineRule="auto"/>
        <w:tabs>
          <w:tab w:val="center" w:pos="1306" w:leader="none"/>
          <w:tab w:val="center" w:pos="4138" w:leader="none"/>
        </w:tabs>
        <w:rPr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Cs w:val="22"/>
        </w:rPr>
        <w:t xml:space="preserve">Степень </w:t>
      </w:r>
      <w:r>
        <w:rPr>
          <w:szCs w:val="22"/>
        </w:rPr>
        <w:tab/>
        <w:t xml:space="preserve">Достижение + Достижение + … </w:t>
      </w:r>
      <w:r>
        <w:rPr>
          <w:szCs w:val="22"/>
        </w:rPr>
      </w:r>
      <w:r>
        <w:rPr>
          <w:szCs w:val="22"/>
        </w:rPr>
      </w:r>
    </w:p>
    <w:p>
      <w:pPr>
        <w:spacing w:after="193" w:line="268" w:lineRule="auto"/>
        <w:tabs>
          <w:tab w:val="center" w:pos="3885" w:leader="none"/>
          <w:tab w:val="center" w:pos="7292" w:leader="none"/>
          <w:tab w:val="center" w:pos="7903" w:leader="none"/>
        </w:tabs>
        <w:rPr>
          <w:szCs w:val="22"/>
        </w:rPr>
      </w:pPr>
      <w:r>
        <w:rPr>
          <w:rFonts w:ascii="Calibri" w:hAnsi="Calibri" w:eastAsia="Calibri" w:cs="Calibri"/>
          <w:sz w:val="22"/>
          <w:szCs w:val="22"/>
        </w:rPr>
        <w:tab/>
      </w:r>
      <w:r>
        <w:rPr>
          <w:szCs w:val="22"/>
        </w:rPr>
        <w:t xml:space="preserve">достижения = </w:t>
      </w: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71165" cy="6350"/>
                <wp:effectExtent l="0" t="3175" r="4445" b="0"/>
                <wp:docPr id="3" name="Group 54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165" cy="6350"/>
                          <a:chOff x="0" y="0"/>
                          <a:chExt cx="29709" cy="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09" cy="91"/>
                          </a:xfrm>
                          <a:custGeom>
                            <a:avLst/>
                            <a:gdLst>
                              <a:gd name="T0" fmla="*/ 0 w 2970911"/>
                              <a:gd name="T1" fmla="*/ 0 h 9144"/>
                              <a:gd name="T2" fmla="*/ 2970911 w 2970911"/>
                              <a:gd name="T3" fmla="*/ 0 h 9144"/>
                              <a:gd name="T4" fmla="*/ 2970911 w 2970911"/>
                              <a:gd name="T5" fmla="*/ 9144 h 9144"/>
                              <a:gd name="T6" fmla="*/ 0 w 2970911"/>
                              <a:gd name="T7" fmla="*/ 9144 h 9144"/>
                              <a:gd name="T8" fmla="*/ 0 w 2970911"/>
                              <a:gd name="T9" fmla="*/ 0 h 9144"/>
                              <a:gd name="T10" fmla="*/ 0 w 2970911"/>
                              <a:gd name="T11" fmla="*/ 0 h 9144"/>
                              <a:gd name="T12" fmla="*/ 2970911 w 2970911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70911" h="9144" fill="norm" stroke="1" extrusionOk="0">
                                <a:moveTo>
                                  <a:pt x="0" y="0"/>
                                </a:moveTo>
                                <a:lnTo>
                                  <a:pt x="2970911" y="0"/>
                                </a:lnTo>
                                <a:lnTo>
                                  <a:pt x="2970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0000" style="width:233.95pt;height:0.50pt;mso-wrap-distance-left:0.00pt;mso-wrap-distance-top:0.00pt;mso-wrap-distance-right:0.00pt;mso-wrap-distance-bottom:0.00pt;" coordorigin="0,0" coordsize="297,0">
                <v:shape id="shape 4" o:spid="_x0000_s4" style="position:absolute;left:0;top:0;width:297;height:0;visibility:visible;" path="m0,0l100000,0l100000,99998l0,99998l0,0e" coordsize="100000,100000" fillcolor="#000000" stroked="f">
                  <v:path textboxrect="0,0,100000,100000"/>
                </v:shape>
              </v:group>
            </w:pict>
          </mc:Fallback>
        </mc:AlternateContent>
      </w:r>
      <w:r>
        <w:rPr>
          <w:szCs w:val="22"/>
        </w:rPr>
        <w:t xml:space="preserve">Количество индикаторов </w:t>
      </w:r>
      <w:r>
        <w:rPr>
          <w:szCs w:val="22"/>
        </w:rPr>
        <w:tab/>
        <w:t xml:space="preserve">х </w:t>
      </w:r>
      <w:r>
        <w:rPr>
          <w:szCs w:val="22"/>
        </w:rPr>
        <w:tab/>
        <w:t xml:space="preserve">100% </w:t>
      </w:r>
      <w:r>
        <w:rPr>
          <w:szCs w:val="22"/>
        </w:rPr>
      </w:r>
      <w:r>
        <w:rPr>
          <w:szCs w:val="22"/>
        </w:rPr>
      </w:r>
    </w:p>
    <w:p>
      <w:pPr>
        <w:spacing w:after="23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3)Рассчитывается уровень финансирования Муниципальной программы по формуле:  </w:t>
      </w:r>
      <w:r>
        <w:rPr>
          <w:szCs w:val="22"/>
        </w:rPr>
      </w:r>
      <w:r>
        <w:rPr>
          <w:szCs w:val="22"/>
        </w:rPr>
      </w:r>
    </w:p>
    <w:p>
      <w:pPr>
        <w:spacing w:after="22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1304"/>
        <w:jc w:val="center"/>
        <w:spacing w:line="259" w:lineRule="auto"/>
        <w:rPr>
          <w:szCs w:val="22"/>
        </w:rPr>
      </w:pPr>
      <w:r>
        <w:rPr>
          <w:szCs w:val="22"/>
        </w:rPr>
        <w:t xml:space="preserve">Фактическое финансирование </w:t>
      </w:r>
      <w:r>
        <w:rPr>
          <w:szCs w:val="22"/>
        </w:rPr>
      </w:r>
      <w:r>
        <w:rPr>
          <w:szCs w:val="22"/>
        </w:rPr>
      </w:r>
    </w:p>
    <w:p>
      <w:pPr>
        <w:ind w:right="520"/>
        <w:jc w:val="both"/>
        <w:spacing w:after="111" w:line="268" w:lineRule="auto"/>
        <w:rPr>
          <w:szCs w:val="22"/>
        </w:rPr>
      </w:pPr>
      <w:r>
        <w:rPr>
          <w:szCs w:val="22"/>
        </w:rPr>
        <w:t xml:space="preserve">Уровень </w:t>
      </w:r>
      <w:r>
        <w:rPr>
          <w:szCs w:val="22"/>
        </w:rPr>
        <w:tab/>
      </w:r>
      <w:r>
        <w:rPr>
          <w:rFonts w:ascii="Calibri" w:hAnsi="Calibri" w:eastAsia="Calibri" w:cs="Calibri"/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971800" cy="6350"/>
                <wp:effectExtent l="0" t="4445" r="4445" b="0"/>
                <wp:docPr id="4" name="Group 548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971800" cy="6350"/>
                          <a:chOff x="0" y="0"/>
                          <a:chExt cx="29720" cy="6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9720" cy="91"/>
                          </a:xfrm>
                          <a:custGeom>
                            <a:avLst/>
                            <a:gdLst>
                              <a:gd name="T0" fmla="*/ 0 w 2972054"/>
                              <a:gd name="T1" fmla="*/ 0 h 9144"/>
                              <a:gd name="T2" fmla="*/ 2972054 w 2972054"/>
                              <a:gd name="T3" fmla="*/ 0 h 9144"/>
                              <a:gd name="T4" fmla="*/ 2972054 w 2972054"/>
                              <a:gd name="T5" fmla="*/ 9144 h 9144"/>
                              <a:gd name="T6" fmla="*/ 0 w 2972054"/>
                              <a:gd name="T7" fmla="*/ 9144 h 9144"/>
                              <a:gd name="T8" fmla="*/ 0 w 2972054"/>
                              <a:gd name="T9" fmla="*/ 0 h 9144"/>
                              <a:gd name="T10" fmla="*/ 0 w 2972054"/>
                              <a:gd name="T11" fmla="*/ 0 h 9144"/>
                              <a:gd name="T12" fmla="*/ 2972054 w 2972054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972054" h="9144" fill="norm" stroke="1" extrusionOk="0">
                                <a:moveTo>
                                  <a:pt x="0" y="0"/>
                                </a:moveTo>
                                <a:lnTo>
                                  <a:pt x="2972054" y="0"/>
                                </a:lnTo>
                                <a:lnTo>
                                  <a:pt x="2972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0000" style="width:234.00pt;height:0.50pt;mso-wrap-distance-left:0.00pt;mso-wrap-distance-top:0.00pt;mso-wrap-distance-right:0.00pt;mso-wrap-distance-bottom:0.00pt;" coordorigin="0,0" coordsize="297,0">
                <v:shape id="shape 6" o:spid="_x0000_s6" style="position:absolute;left:0;top:0;width:297;height:0;visibility:visible;" path="m0,0l100000,0l100000,99998l0,99998l0,0e" coordsize="100000,100000" fillcolor="#000000" stroked="f">
                  <v:path textboxrect="0,0,100000,100000"/>
                </v:shape>
              </v:group>
            </w:pict>
          </mc:Fallback>
        </mc:AlternateContent>
      </w:r>
      <w:r>
        <w:rPr>
          <w:szCs w:val="22"/>
        </w:rPr>
        <w:t xml:space="preserve">финансирования = Плановое финансирование (утвержденное </w:t>
      </w:r>
      <w:r>
        <w:rPr>
          <w:szCs w:val="22"/>
        </w:rPr>
        <w:tab/>
        <w:t xml:space="preserve">х </w:t>
      </w:r>
      <w:r>
        <w:rPr>
          <w:szCs w:val="22"/>
        </w:rPr>
        <w:tab/>
        <w:t xml:space="preserve">100% </w:t>
      </w:r>
      <w:r>
        <w:rPr>
          <w:szCs w:val="22"/>
        </w:rPr>
      </w:r>
      <w:r>
        <w:rPr>
          <w:szCs w:val="22"/>
        </w:rPr>
      </w:r>
    </w:p>
    <w:p>
      <w:pPr>
        <w:ind w:right="1321"/>
        <w:jc w:val="center"/>
        <w:spacing w:line="259" w:lineRule="auto"/>
        <w:rPr>
          <w:szCs w:val="22"/>
        </w:rPr>
      </w:pPr>
      <w:r>
        <w:rPr>
          <w:szCs w:val="22"/>
        </w:rPr>
        <w:t xml:space="preserve">Муниципальной программой)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4)На основании проведённых расчетов могут быть сделаны следующие выводы об эффективности реализации Муниципальной программы: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Муниципальная программа реализуется эффективно, если степень достижения индикаторов Муниципальной программы&gt; = уровню финансирования;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Муниципальная программа реализуется неэффективно, если степень достижения индикаторов </w:t>
      </w:r>
      <w:r>
        <w:rPr>
          <w:szCs w:val="22"/>
        </w:rPr>
        <w:t xml:space="preserve">&lt; уровня</w:t>
      </w:r>
      <w:r>
        <w:rPr>
          <w:szCs w:val="22"/>
        </w:rPr>
        <w:t xml:space="preserve"> финансирования.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Муниципальной программы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3.1. </w:t>
      </w: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1 </w:t>
      </w:r>
      <w:r>
        <w:rPr>
          <w:b/>
          <w:szCs w:val="22"/>
        </w:rPr>
        <w:t xml:space="preserve">«</w:t>
      </w:r>
      <w:r>
        <w:rPr>
          <w:b/>
          <w:szCs w:val="22"/>
        </w:rPr>
        <w:t xml:space="preserve">Проведение капитального ремонта общего имущества в многоквартирных домах, расположенных на территории </w:t>
      </w:r>
      <w:r>
        <w:rPr>
          <w:b/>
          <w:bCs/>
        </w:rPr>
        <w:t xml:space="preserve">муниципального</w:t>
      </w:r>
      <w:r>
        <w:rPr>
          <w:b/>
          <w:bCs/>
          <w:szCs w:val="22"/>
        </w:rPr>
        <w:t xml:space="preserve"> </w:t>
      </w:r>
      <w:r>
        <w:rPr>
          <w:b/>
          <w:szCs w:val="22"/>
        </w:rPr>
        <w:t xml:space="preserve">округа город Шахунья Нижегородской области</w:t>
      </w:r>
      <w:r>
        <w:rPr>
          <w:b/>
          <w:szCs w:val="22"/>
        </w:rPr>
        <w:t xml:space="preserve">»</w:t>
      </w:r>
      <w:r>
        <w:rPr>
          <w:b/>
          <w:szCs w:val="22"/>
        </w:rPr>
        <w:t xml:space="preserve"> (далее - </w:t>
      </w: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1)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287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3.1.1. Паспорт Мероприятия 1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189" w:type="dxa"/>
        <w:tblInd w:w="115" w:type="dxa"/>
        <w:tblCellMar>
          <w:left w:w="74" w:type="dxa"/>
          <w:top w:w="48" w:type="dxa"/>
          <w:right w:w="14" w:type="dxa"/>
        </w:tblCellMar>
        <w:tblLook w:val="04A0" w:firstRow="1" w:lastRow="0" w:firstColumn="1" w:lastColumn="0" w:noHBand="0" w:noVBand="1"/>
      </w:tblPr>
      <w:tblGrid>
        <w:gridCol w:w="2696"/>
        <w:gridCol w:w="12493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ind w:right="57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</w:t>
            </w:r>
            <w:r>
              <w:rPr>
                <w:rFonts w:ascii="Times New Roman" w:hAnsi="Times New Roman"/>
              </w:rPr>
              <w:t xml:space="preserve"> и архитектурной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3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right="61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безопасных и благоприятных условий проживания граждан в многоквартирных 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right="61"/>
              <w:jc w:val="both"/>
              <w:spacing w:after="31" w:line="251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Устранение неисправностей изношенных конструктивных элементов общего имущества собственников помещений в МКД, в том числе по их восстановлению или замене для улучшения эксплуатационных характеристик;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3"/>
              </w:numPr>
              <w:ind w:right="61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надлежащего состояния общег</w:t>
            </w:r>
            <w:r>
              <w:rPr>
                <w:rFonts w:ascii="Times New Roman" w:hAnsi="Times New Roman"/>
              </w:rPr>
              <w:t xml:space="preserve">о имущества в многоквартирных домах в соответствии с Правилами и нормами технической эксплуатации жилищного фонда, утвержденными постановлением Государственного комитета РФ по строительству и жилищно-коммунальному комплексу от 27 сентября 2003 года № 170.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ind w:right="57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 xml:space="preserve">-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Обеспечение своевременного проведения капитального ремонта общего имущества всех многоквартирных домов, за исключением: многоквартирных домов, признанных в установленном порядке аварийными и подлежащими сносу; многоквартирных домов, в которы</w:t>
            </w:r>
            <w:r>
              <w:rPr>
                <w:rFonts w:ascii="Times New Roman" w:hAnsi="Times New Roman"/>
              </w:rPr>
              <w:t xml:space="preserve">х имеется менее чем три квартиры; жилых домов с количеством этажей не более чем три, состоящие из нескольких блоков, количество которых не превышает десять и каждый из которых предназначен для проживания одной семьи, имеет общую стену (общие стены) без про</w:t>
            </w:r>
            <w:r>
              <w:rPr>
                <w:rFonts w:ascii="Times New Roman" w:hAnsi="Times New Roman"/>
              </w:rPr>
              <w:t xml:space="preserve">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 -Использование эффективных технических решений при проведении капитального ремонта.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1 реализуется в течение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 xml:space="preserve">ов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after="46" w:line="23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за счет средств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ind w:right="62"/>
              <w:jc w:val="both"/>
              <w:spacing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</w:t>
            </w:r>
            <w:r>
              <w:rPr>
                <w:rFonts w:ascii="Times New Roman" w:hAnsi="Times New Roman"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всего 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0 000,00 рублей, в том числе по годам реализации: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0 000,00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2"/>
              <w:jc w:val="both"/>
              <w:spacing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</w:t>
            </w:r>
            <w:r>
              <w:rPr>
                <w:rFonts w:ascii="Times New Roman" w:hAnsi="Times New Roman"/>
              </w:rPr>
              <w:t xml:space="preserve">рублей. </w:t>
            </w:r>
            <w:r>
              <w:rPr>
                <w:rFonts w:ascii="Times New Roman" w:hAnsi="Times New Roman"/>
                <w:highlight w:val="yellow"/>
              </w:rPr>
            </w:r>
            <w:r>
              <w:rPr>
                <w:rFonts w:ascii="Times New Roman" w:hAnsi="Times New Roman"/>
                <w:highlight w:val="yellow"/>
              </w:rPr>
            </w:r>
          </w:p>
        </w:tc>
      </w:tr>
      <w:tr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ind w:right="40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</w:t>
            </w:r>
            <w:r>
              <w:rPr>
                <w:rFonts w:ascii="Times New Roman" w:hAnsi="Times New Roman"/>
              </w:rPr>
              <w:t xml:space="preserve">показатели непосредственных результатов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spacing w:after="3" w:line="27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1 "Проведению капитального ремонта общего имущества в многоквартирных </w:t>
            </w:r>
            <w:r>
              <w:rPr>
                <w:rFonts w:ascii="Times New Roman" w:hAnsi="Times New Roman"/>
              </w:rPr>
              <w:t xml:space="preserve">домах,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области" будут достигнуты следующие значения </w:t>
            </w:r>
            <w:r>
              <w:rPr>
                <w:rFonts w:ascii="Times New Roman" w:hAnsi="Times New Roman"/>
              </w:rPr>
              <w:tab/>
              <w:t xml:space="preserve">индикаторов </w:t>
            </w:r>
            <w:r>
              <w:rPr>
                <w:rFonts w:ascii="Times New Roman" w:hAnsi="Times New Roman"/>
              </w:rPr>
              <w:tab/>
              <w:t xml:space="preserve"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показатели </w:t>
            </w:r>
            <w:r>
              <w:rPr>
                <w:rFonts w:ascii="Times New Roman" w:hAnsi="Times New Roman"/>
              </w:rPr>
              <w:tab/>
              <w:t xml:space="preserve">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8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6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93" w:type="dxa"/>
            <w:textDirection w:val="lrTb"/>
            <w:noWrap w:val="false"/>
          </w:tcPr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7" w:line="25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tab/>
              <w:t xml:space="preserve">площадь </w:t>
            </w:r>
            <w:r>
              <w:rPr>
                <w:rFonts w:ascii="Times New Roman" w:hAnsi="Times New Roman"/>
              </w:rPr>
              <w:tab/>
              <w:t xml:space="preserve">капитально </w:t>
            </w:r>
            <w:r>
              <w:rPr>
                <w:rFonts w:ascii="Times New Roman" w:hAnsi="Times New Roman"/>
              </w:rPr>
              <w:tab/>
              <w:t xml:space="preserve">отремонтированных многоквартирных домов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 составит </w:t>
            </w:r>
            <w:r>
              <w:rPr>
                <w:rFonts w:ascii="Times New Roman" w:hAnsi="Times New Roman"/>
              </w:rPr>
              <w:t xml:space="preserve">25 921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  <w:t xml:space="preserve">68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7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 </w:t>
            </w:r>
            <w:r>
              <w:rPr>
                <w:rFonts w:ascii="Times New Roman" w:hAnsi="Times New Roman"/>
              </w:rPr>
              <w:t xml:space="preserve">679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82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2" w:line="26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8 654, 54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2" w:line="26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году составит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8 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87, 32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кв.м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8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Общее </w:t>
            </w:r>
            <w:r>
              <w:rPr>
                <w:rFonts w:ascii="Times New Roman" w:hAnsi="Times New Roman"/>
              </w:rPr>
              <w:tab/>
              <w:t xml:space="preserve">количество </w:t>
            </w:r>
            <w:r>
              <w:rPr>
                <w:rFonts w:ascii="Times New Roman" w:hAnsi="Times New Roman"/>
              </w:rPr>
              <w:tab/>
              <w:t xml:space="preserve">капитально </w:t>
            </w:r>
            <w:r>
              <w:rPr>
                <w:rFonts w:ascii="Times New Roman" w:hAnsi="Times New Roman"/>
              </w:rPr>
              <w:tab/>
              <w:t xml:space="preserve">отремонтированных многоквартирных домов составит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ед.: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2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ед.,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4"/>
              </w:numPr>
              <w:ind w:right="1403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ед.,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403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   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br w:type="page" w:clear="all"/>
      </w:r>
      <w:r>
        <w:rPr>
          <w:szCs w:val="22"/>
        </w:rPr>
      </w:r>
      <w:r>
        <w:rPr>
          <w:szCs w:val="22"/>
        </w:rPr>
      </w:r>
    </w:p>
    <w:p>
      <w:pPr>
        <w:ind w:right="398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3.1.2. Текстовая часть Мероприятия 1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401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3.1.2.1. Характеристика текущего состояния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Объем многоквартирного жилищного фонда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(с учетом домов блокированной застройки) составляет 5</w:t>
      </w:r>
      <w:r>
        <w:rPr>
          <w:szCs w:val="22"/>
        </w:rPr>
        <w:t xml:space="preserve">79</w:t>
      </w:r>
      <w:r>
        <w:rPr>
          <w:szCs w:val="22"/>
        </w:rPr>
        <w:t xml:space="preserve"> </w:t>
      </w:r>
      <w:r>
        <w:rPr>
          <w:szCs w:val="22"/>
        </w:rPr>
        <w:t xml:space="preserve">3</w:t>
      </w:r>
      <w:r>
        <w:rPr>
          <w:szCs w:val="22"/>
        </w:rPr>
        <w:t xml:space="preserve">00,00 м</w:t>
      </w:r>
      <w:r>
        <w:rPr>
          <w:szCs w:val="22"/>
          <w:vertAlign w:val="superscript"/>
        </w:rPr>
        <w:t xml:space="preserve">3</w:t>
      </w:r>
      <w:r>
        <w:rPr>
          <w:szCs w:val="22"/>
        </w:rPr>
        <w:t xml:space="preserve">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Общая площадь жилых и нежилых помещений в многоквартирных домах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области, участвующих в региональной адресной программе по проведению капитального ремонта общего имущества в многоквартирных домах, расположенных на территории Нижегородской области, составляет – </w:t>
      </w:r>
      <w:r>
        <w:rPr>
          <w:szCs w:val="22"/>
        </w:rPr>
        <w:t xml:space="preserve">384</w:t>
      </w:r>
      <w:r>
        <w:rPr>
          <w:szCs w:val="22"/>
        </w:rPr>
        <w:t xml:space="preserve"> </w:t>
      </w:r>
      <w:r>
        <w:rPr>
          <w:szCs w:val="22"/>
        </w:rPr>
        <w:t xml:space="preserve">956</w:t>
      </w:r>
      <w:r>
        <w:rPr>
          <w:szCs w:val="22"/>
        </w:rPr>
        <w:t xml:space="preserve">,</w:t>
      </w:r>
      <w:r>
        <w:rPr>
          <w:szCs w:val="22"/>
        </w:rPr>
        <w:t xml:space="preserve">40</w:t>
      </w:r>
      <w:r>
        <w:rPr>
          <w:szCs w:val="22"/>
        </w:rPr>
        <w:t xml:space="preserve"> м</w:t>
      </w:r>
      <w:r>
        <w:rPr>
          <w:szCs w:val="22"/>
          <w:vertAlign w:val="superscript"/>
        </w:rPr>
        <w:t xml:space="preserve">2</w:t>
      </w:r>
      <w:r>
        <w:rPr>
          <w:szCs w:val="22"/>
        </w:rPr>
        <w:t xml:space="preserve">.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Жилой сектор, расположенный на территории </w:t>
      </w:r>
      <w:r>
        <w:t xml:space="preserve">муниципального</w:t>
      </w:r>
      <w:r>
        <w:rPr>
          <w:szCs w:val="22"/>
        </w:rPr>
        <w:t xml:space="preserve"> округа, представлен индивидуальной жилой застройкой и многоквартирными жилыми домами. Большинство жители индивидуальной жилой застройки используют индивидуальные источники тепловой энергии: электрическое отопление, печное отопление.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Мониторинг состояния жилищного фонда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по проведению капитального ремонта многоквартирных домов показал, что большая часть домов находится в неудовлетворительном состоянии и нуждается в капитальном ремонте.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связи с высокой социальной важностью задачи надлежащего содержания многоквартирных домов требуется оптимизация процессов планирования капитального ремонта. 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Реализация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Определение необходимости проведения капитального ремонта осуществляется на основании  информации об обследовании технического с</w:t>
      </w:r>
      <w:r>
        <w:rPr>
          <w:szCs w:val="22"/>
        </w:rPr>
        <w:t xml:space="preserve">остояния многоквартирных домов, данных технических паспортов, технической документации предоставляемой лицами, осуществляющими управление многоквартирными домами, и информации об обследовании технического состояния многоквартирных домов, данных технических</w:t>
      </w:r>
      <w:r>
        <w:rPr>
          <w:szCs w:val="22"/>
        </w:rPr>
        <w:t xml:space="preserve"> паспортов, технической документации, в отношении многоквартирных домов, находящихся в муниципальной собственности, а также в отношении многоквартирных домов, информация о которых не представлена лицами, осуществляющими управление многоквартирными домами.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Администрация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для уточнения данных и (или) определения приоритетности в необходимости проведения капитального ремонта может формировать комиссию с участием представителей администрации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области, а также представителей лица, осуществляющего управление многоквартирным домом и (или) регионального оператора (в случае формирования фонда капитального ремонта на счете, счетах регионального оператора)</w:t>
      </w:r>
      <w:r>
        <w:rPr>
          <w:szCs w:val="22"/>
        </w:rPr>
        <w:t xml:space="preserve">.</w:t>
      </w:r>
      <w:r>
        <w:rPr>
          <w:szCs w:val="22"/>
        </w:rPr>
        <w:t xml:space="preserve">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18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400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3.1.2.2. Цели и задачи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Стратегической целью </w:t>
      </w:r>
      <w:bookmarkStart w:id="1" w:name="_Hlk152936622"/>
      <w:r>
        <w:rPr>
          <w:b/>
          <w:bCs/>
          <w:szCs w:val="22"/>
        </w:rPr>
        <w:t xml:space="preserve">Мероприятия</w:t>
      </w:r>
      <w:bookmarkEnd w:id="1"/>
      <w:r>
        <w:rPr>
          <w:szCs w:val="22"/>
        </w:rPr>
        <w:t xml:space="preserve"> 1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Задачи для достижения поставленной цели следующие: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Обеспечение своевременного проведения капитального ремонта общего имущества в многоквартирных домах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Выполнение планируемых показателей выполнения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Конкретизация сроков проведения капитального ремонта общего имущества в многоквартирных домах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Уточнение стоимости услуг и (или) работ по капитальному ремонту общего имущества в многоквартирных домах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области;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 - Определение объема муниципальной поддержки капитального ремонта общего имущества в многоквартирных домах за счет средств местного бюджета. </w:t>
      </w:r>
      <w:r>
        <w:rPr>
          <w:szCs w:val="22"/>
        </w:rPr>
      </w:r>
      <w:r>
        <w:rPr>
          <w:szCs w:val="22"/>
        </w:rPr>
      </w:r>
    </w:p>
    <w:p>
      <w:pPr>
        <w:spacing w:after="26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3.1.2.3. Сроки и этапы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1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b/>
          <w:bCs/>
          <w:szCs w:val="22"/>
        </w:rPr>
        <w:t xml:space="preserve">Мероприятие</w:t>
      </w:r>
      <w:r>
        <w:rPr>
          <w:szCs w:val="22"/>
        </w:rPr>
        <w:t xml:space="preserve"> 1 "Проведению капитального ремонта общего имущества в многоквартирных домах, расположенных на территории </w:t>
      </w:r>
      <w:r>
        <w:t xml:space="preserve">муниципального</w:t>
      </w:r>
      <w:r>
        <w:rPr>
          <w:szCs w:val="22"/>
        </w:rPr>
        <w:t xml:space="preserve"> </w:t>
      </w:r>
      <w:r>
        <w:rPr>
          <w:szCs w:val="22"/>
        </w:rPr>
        <w:t xml:space="preserve">округа город Шахунья Нижегородской области" будет реализована в период 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годов в </w:t>
      </w:r>
      <w:r>
        <w:rPr>
          <w:szCs w:val="22"/>
        </w:rPr>
        <w:t xml:space="preserve">один</w:t>
      </w:r>
      <w:r>
        <w:rPr>
          <w:szCs w:val="22"/>
        </w:rPr>
        <w:t xml:space="preserve"> этап.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27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941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3.1.2.4. Перечень основных мероприятий Мероприятия 1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основным мероприятиям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отражена в Таблице 1 «Перечень основных мероприятий Муниципальной программы».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3.1.2.5. Индикаторы достижения цели и непосредственные результаты реализации муниципальной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1 </w:t>
      </w:r>
      <w:r>
        <w:rPr>
          <w:szCs w:val="22"/>
        </w:rPr>
      </w:r>
      <w:r>
        <w:rPr>
          <w:szCs w:val="22"/>
        </w:rPr>
      </w:r>
    </w:p>
    <w:p>
      <w:pPr>
        <w:ind w:right="3"/>
        <w:jc w:val="both"/>
        <w:spacing w:after="23" w:line="259" w:lineRule="auto"/>
        <w:rPr>
          <w:szCs w:val="22"/>
        </w:rPr>
      </w:pPr>
      <w:r>
        <w:rPr>
          <w:szCs w:val="22"/>
        </w:rPr>
        <w:t xml:space="preserve">Информация по основным мероприятиям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отражена в Таблица 2 «Сведения об индикаторах и непосредственных результатах».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3.1.2.6. Прогноз сводных показателей муниципальных заданий на оказание муниципальных услуг (работ) Подпрограммы 1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рамках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не предусматривается оказание муниципальных услуг (работ) физическим и юридическим лицам. </w:t>
      </w:r>
      <w:r>
        <w:rPr>
          <w:szCs w:val="22"/>
        </w:rPr>
      </w:r>
      <w:r>
        <w:rPr>
          <w:szCs w:val="22"/>
        </w:rPr>
      </w:r>
    </w:p>
    <w:p>
      <w:pPr>
        <w:spacing w:after="27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3.1.2.7. Участие в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1 муниципальных унитарных предприятий, акционерных обществ.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реализации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не принимают участия муниципальные унитарные предприятия, акционерные общества, общественные, научные и иные организации, а также внебюджетные фонды.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3.1.2.8. Обоснование объема финансовых ресурсов.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ресурсному обеспечению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за счет средств бюджета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(с расшифровкой по основным мероприятиям подпрограмм, а также по годам реализации  программы) отражается по форме согласно таблицы 3 «Ресурсное обеспечение реализации Муниципальной программы за счет средств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области» и таблицы 4</w:t>
      </w:r>
      <w:r>
        <w:rPr>
          <w:b/>
          <w:szCs w:val="22"/>
        </w:rPr>
        <w:t xml:space="preserve"> </w:t>
      </w:r>
      <w:r>
        <w:rPr>
          <w:szCs w:val="22"/>
        </w:rPr>
        <w:t xml:space="preserve">«Прогнозная оценка расходов на реализацию Муниципальной программы за счет всех источников». </w:t>
      </w:r>
      <w:r>
        <w:rPr>
          <w:szCs w:val="22"/>
        </w:rPr>
        <w:t xml:space="preserve">  </w:t>
      </w:r>
      <w:r>
        <w:rPr>
          <w:szCs w:val="22"/>
        </w:rPr>
      </w:r>
      <w:r>
        <w:rPr>
          <w:szCs w:val="22"/>
        </w:rPr>
      </w:r>
    </w:p>
    <w:p>
      <w:pPr>
        <w:spacing w:after="19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3.1.2.9. Анализ рисков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1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Анализ рисков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описывается в п.</w:t>
      </w:r>
      <w:r>
        <w:rPr>
          <w:b/>
          <w:szCs w:val="22"/>
        </w:rPr>
        <w:t xml:space="preserve"> </w:t>
      </w:r>
      <w:r>
        <w:rPr>
          <w:szCs w:val="22"/>
        </w:rPr>
        <w:t xml:space="preserve">2.9. «Анализ рисков реализации Муниципальной программы».  </w:t>
      </w:r>
      <w:r>
        <w:rPr>
          <w:szCs w:val="22"/>
        </w:rPr>
      </w:r>
      <w:r>
        <w:rPr>
          <w:szCs w:val="22"/>
        </w:rPr>
      </w:r>
    </w:p>
    <w:p>
      <w:pPr>
        <w:spacing w:after="17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3.1.2.10 Оценка эффективности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1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Оценка эффективности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1 описывается в п.2.</w:t>
      </w:r>
      <w:r>
        <w:rPr>
          <w:szCs w:val="22"/>
        </w:rPr>
        <w:t xml:space="preserve">10. «</w:t>
      </w:r>
      <w:r>
        <w:rPr>
          <w:szCs w:val="22"/>
        </w:rPr>
        <w:t xml:space="preserve">Оценка эффективности Муниципальной программы». </w:t>
      </w:r>
      <w:r>
        <w:rPr>
          <w:szCs w:val="22"/>
        </w:rPr>
      </w:r>
      <w:r>
        <w:rPr>
          <w:szCs w:val="22"/>
        </w:rPr>
      </w:r>
    </w:p>
    <w:p>
      <w:pPr>
        <w:spacing w:after="8" w:line="271" w:lineRule="auto"/>
        <w:rPr>
          <w:szCs w:val="22"/>
        </w:rPr>
      </w:pPr>
      <w:r>
        <w:rPr>
          <w:b/>
          <w:szCs w:val="22"/>
        </w:rPr>
        <w:t xml:space="preserve">3.2. </w:t>
      </w: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2 </w:t>
      </w:r>
      <w:r>
        <w:rPr>
          <w:b/>
          <w:szCs w:val="22"/>
        </w:rPr>
        <w:t xml:space="preserve">«</w:t>
      </w:r>
      <w:r>
        <w:rPr>
          <w:b/>
          <w:szCs w:val="22"/>
        </w:rPr>
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</w:r>
      <w:r>
        <w:rPr>
          <w:b/>
          <w:bCs/>
        </w:rPr>
        <w:t xml:space="preserve">муниципального</w:t>
      </w:r>
      <w:r>
        <w:rPr>
          <w:b/>
          <w:szCs w:val="22"/>
        </w:rPr>
        <w:t xml:space="preserve"> округа город Шахунья Нижегородской области</w:t>
      </w:r>
      <w:r>
        <w:rPr>
          <w:b/>
          <w:szCs w:val="22"/>
        </w:rPr>
        <w:t xml:space="preserve">»</w:t>
      </w:r>
      <w:r>
        <w:rPr>
          <w:b/>
          <w:szCs w:val="22"/>
        </w:rPr>
        <w:t xml:space="preserve"> (далее – </w:t>
      </w:r>
      <w:r>
        <w:rPr>
          <w:b/>
          <w:bCs/>
          <w:szCs w:val="22"/>
        </w:rPr>
        <w:t xml:space="preserve">Мероприятие </w:t>
      </w:r>
      <w:r>
        <w:rPr>
          <w:b/>
          <w:szCs w:val="22"/>
        </w:rPr>
        <w:t xml:space="preserve">2).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p>
      <w:pPr>
        <w:ind w:right="402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3.2.1. Паспорт Мероприятия 2 </w:t>
      </w:r>
      <w:r>
        <w:rPr>
          <w:b/>
          <w:szCs w:val="22"/>
        </w:rPr>
      </w:r>
      <w:r>
        <w:rPr>
          <w:b/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021" w:type="dxa"/>
        <w:tblInd w:w="0" w:type="dxa"/>
        <w:tblCellMar>
          <w:left w:w="74" w:type="dxa"/>
          <w:top w:w="45" w:type="dxa"/>
          <w:right w:w="14" w:type="dxa"/>
        </w:tblCellMar>
        <w:tblLook w:val="04A0" w:firstRow="1" w:lastRow="0" w:firstColumn="1" w:lastColumn="0" w:noHBand="0" w:noVBand="1"/>
      </w:tblPr>
      <w:tblGrid>
        <w:gridCol w:w="2722"/>
        <w:gridCol w:w="12299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3"/>
              <w:jc w:val="center"/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 xml:space="preserve">(Управление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</w:tr>
      <w:tr>
        <w:trPr>
          <w:trHeight w:val="5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;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муниципального имущества и земельных ресурсов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Цель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ind w:right="63"/>
              <w:jc w:val="both"/>
              <w:spacing w:after="33" w:line="25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Создание безопасных и благоприятных условий проживания граждан в муниципальных жилых помещениях, расположенных на территории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9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Устранение неисправностей изношенных конструктивных элементов муниципальных жилых помещений по выезду комиссии по обследованию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области.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ind w:right="63"/>
              <w:jc w:val="both"/>
              <w:spacing w:after="35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Обеспечение своевременного проведения капитального ремонта муниципальных жилых помещений по выезду комиссии по обследованию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Использование эффективных технических решений при проведении капитального ремонта.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2 реализуется в </w:t>
            </w:r>
            <w:r>
              <w:rPr>
                <w:rFonts w:ascii="Times New Roman" w:hAnsi="Times New Roman"/>
              </w:rPr>
              <w:t xml:space="preserve">течение </w:t>
            </w: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</w:t>
            </w:r>
            <w:r>
              <w:rPr>
                <w:rFonts w:ascii="Times New Roman" w:hAnsi="Times New Roman"/>
              </w:rPr>
              <w:t xml:space="preserve">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ассигнований за счет средств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jc w:val="both"/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всего </w:t>
            </w:r>
            <w:r>
              <w:rPr>
                <w:rFonts w:ascii="Times New Roman" w:hAnsi="Times New Roman"/>
              </w:rPr>
              <w:t xml:space="preserve">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000</w:t>
            </w:r>
            <w:r>
              <w:rPr>
                <w:rFonts w:ascii="Times New Roman" w:hAnsi="Times New Roman"/>
              </w:rPr>
              <w:t xml:space="preserve">,</w:t>
            </w:r>
            <w:r>
              <w:rPr>
                <w:rFonts w:ascii="Times New Roman" w:hAnsi="Times New Roman"/>
              </w:rPr>
              <w:t xml:space="preserve">00</w:t>
            </w:r>
            <w:r>
              <w:rPr>
                <w:rFonts w:ascii="Times New Roman" w:hAnsi="Times New Roman"/>
              </w:rPr>
              <w:t xml:space="preserve"> руб., в том числе по годам реализации: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4"/>
              <w:numPr>
                <w:ilvl w:val="0"/>
                <w:numId w:val="35"/>
              </w:numPr>
              <w:jc w:val="both"/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left="1020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</w:t>
            </w:r>
            <w:r>
              <w:rPr>
                <w:rFonts w:ascii="Times New Roman" w:hAnsi="Times New Roman"/>
              </w:rPr>
              <w:t xml:space="preserve">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1020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 </w:t>
            </w:r>
            <w:r>
              <w:rPr>
                <w:rFonts w:ascii="Times New Roman" w:hAnsi="Times New Roman"/>
              </w:rPr>
              <w:t xml:space="preserve">– </w:t>
            </w: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5</w:t>
            </w:r>
            <w:r>
              <w:rPr>
                <w:rFonts w:ascii="Times New Roman" w:hAnsi="Times New Roman"/>
              </w:rPr>
              <w:t xml:space="preserve">00 000,00 </w:t>
            </w:r>
            <w:r>
              <w:rPr>
                <w:rFonts w:ascii="Times New Roman" w:hAnsi="Times New Roman"/>
              </w:rPr>
              <w:t xml:space="preserve">рублей.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0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2" w:type="dxa"/>
            <w:textDirection w:val="lrTb"/>
            <w:noWrap w:val="false"/>
          </w:tcPr>
          <w:p>
            <w:pPr>
              <w:jc w:val="both"/>
              <w:spacing w:line="23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и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99" w:type="dxa"/>
            <w:textDirection w:val="lrTb"/>
            <w:noWrap w:val="false"/>
          </w:tcPr>
          <w:p>
            <w:pPr>
              <w:spacing w:after="18" w:line="26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2 "Пр</w:t>
            </w:r>
            <w:r>
              <w:rPr>
                <w:rFonts w:ascii="Times New Roman" w:hAnsi="Times New Roman"/>
              </w:rPr>
              <w:t xml:space="preserve">оведение капитального </w:t>
            </w:r>
            <w:r>
              <w:rPr>
                <w:rFonts w:ascii="Times New Roman" w:hAnsi="Times New Roman"/>
              </w:rPr>
              <w:tab/>
              <w:t xml:space="preserve">ремонта </w:t>
            </w:r>
            <w:r>
              <w:rPr>
                <w:rFonts w:ascii="Times New Roman" w:hAnsi="Times New Roman"/>
              </w:rPr>
              <w:t xml:space="preserve">муниципальных жилых помещений жилого фонда и нежилых помещений муниципальной формы собственности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области"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муниципальных жилых </w:t>
            </w:r>
            <w:r>
              <w:rPr>
                <w:rFonts w:ascii="Times New Roman" w:hAnsi="Times New Roman"/>
              </w:rPr>
              <w:t xml:space="preserve">помещений,</w:t>
            </w:r>
            <w:r>
              <w:rPr>
                <w:rFonts w:ascii="Times New Roman" w:hAnsi="Times New Roman"/>
              </w:rPr>
              <w:t xml:space="preserve"> подлежащих капитальному ремонту 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составит </w:t>
            </w:r>
            <w:r>
              <w:rPr>
                <w:rFonts w:ascii="Times New Roman" w:hAnsi="Times New Roman"/>
              </w:rPr>
              <w:t xml:space="preserve">45</w:t>
            </w:r>
            <w:r>
              <w:rPr>
                <w:rFonts w:ascii="Times New Roman" w:hAnsi="Times New Roman"/>
              </w:rPr>
              <w:t xml:space="preserve"> ед., из них: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right="2239"/>
              <w:jc w:val="both"/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– </w:t>
            </w: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  <w:t xml:space="preserve"> ед.;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5"/>
              </w:numPr>
              <w:ind w:right="2239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– </w:t>
            </w: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  <w:t xml:space="preserve"> ед.;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223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–</w:t>
            </w:r>
            <w:r>
              <w:rPr>
                <w:rFonts w:ascii="Times New Roman" w:hAnsi="Times New Roman"/>
              </w:rPr>
              <w:t xml:space="preserve">15</w:t>
            </w:r>
            <w:r>
              <w:rPr>
                <w:rFonts w:ascii="Times New Roman" w:hAnsi="Times New Roman"/>
              </w:rPr>
              <w:t xml:space="preserve"> ед.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right="401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3.2.2. Текстовая часть Мероприятия 2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401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3.2.2.1. Характеристика текущего состояния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Общая площадь жилых и нежилых помещений в многоквартирных домах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области, участвующих в региональной адресной программе по проведению капитального ремонта общего имущества в многоквартирных домах, расположенных на территории Нижегородской области</w:t>
      </w:r>
      <w:r>
        <w:rPr>
          <w:szCs w:val="22"/>
        </w:rPr>
        <w:t xml:space="preserve">,</w:t>
      </w:r>
      <w:r>
        <w:rPr>
          <w:szCs w:val="22"/>
        </w:rPr>
        <w:t xml:space="preserve"> составляет – </w:t>
      </w:r>
      <w:r>
        <w:rPr>
          <w:szCs w:val="22"/>
        </w:rPr>
        <w:t xml:space="preserve">384</w:t>
      </w:r>
      <w:r>
        <w:rPr>
          <w:szCs w:val="22"/>
        </w:rPr>
        <w:t xml:space="preserve"> </w:t>
      </w:r>
      <w:r>
        <w:rPr>
          <w:szCs w:val="22"/>
        </w:rPr>
        <w:t xml:space="preserve">956</w:t>
      </w:r>
      <w:r>
        <w:rPr>
          <w:szCs w:val="22"/>
        </w:rPr>
        <w:t xml:space="preserve">,</w:t>
      </w:r>
      <w:r>
        <w:rPr>
          <w:szCs w:val="22"/>
        </w:rPr>
        <w:t xml:space="preserve">40</w:t>
      </w:r>
      <w:r>
        <w:rPr>
          <w:szCs w:val="22"/>
        </w:rPr>
        <w:t xml:space="preserve"> м</w:t>
      </w:r>
      <w:r>
        <w:rPr>
          <w:szCs w:val="22"/>
          <w:vertAlign w:val="superscript"/>
        </w:rPr>
        <w:t xml:space="preserve">2</w:t>
      </w:r>
      <w:r>
        <w:rPr>
          <w:szCs w:val="22"/>
        </w:rPr>
        <w:t xml:space="preserve">, в том числе площадь муниципальных жилых помещений – 30 984,26 м</w:t>
      </w:r>
      <w:r>
        <w:rPr>
          <w:szCs w:val="22"/>
          <w:vertAlign w:val="superscript"/>
        </w:rPr>
        <w:t xml:space="preserve">2 </w:t>
      </w:r>
      <w:r>
        <w:rPr>
          <w:szCs w:val="22"/>
        </w:rPr>
        <w:t xml:space="preserve">(8,05%).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Жилой сектор, расположенный на территории </w:t>
      </w:r>
      <w:r>
        <w:t xml:space="preserve">муниципального</w:t>
      </w:r>
      <w:r>
        <w:rPr>
          <w:szCs w:val="22"/>
        </w:rPr>
        <w:t xml:space="preserve"> округа, представлен индивидуальной жилой застройкой и многоквартирными жилыми домами. Большинство жители индивидуальной жилой застройки используют индивидуальные источники тепловой энергии: электрическое отопление, печное отопление.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Реализация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должна обеспечить перспективное планирование капитального ремонта жилищного фонда на основе анализа фактических и технических показателей состояния конструктивных элементов и инженерных систем многоквартирных домов. </w:t>
      </w:r>
      <w:r>
        <w:rPr>
          <w:szCs w:val="22"/>
        </w:rPr>
      </w:r>
      <w:r>
        <w:rPr>
          <w:szCs w:val="22"/>
        </w:rPr>
      </w:r>
    </w:p>
    <w:p>
      <w:pPr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400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3.2.2.2. Цели и задачи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Стратегической целью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является создание комфортной среды проживания и жизнедеятельности для человека, которая позволит не только удовлетворять жилищные потребности населения, но и обеспечивать высокое качество жизни в целом.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Задачи для достижения поставленной цели следующие: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Создание безопасных и благоприятных условий проживания граждан в муниципальных жилых помещениях, расположенных на территории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области;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Устранение неисправностей изношенных конструктивных элементов муниципальных жилых помещений по выезду комиссии по обследованию жилого фонда и нежилых помещений муниципальной формы собственности </w:t>
      </w:r>
      <w:r>
        <w:t xml:space="preserve">муниципального</w:t>
      </w:r>
      <w:r>
        <w:rPr>
          <w:szCs w:val="22"/>
        </w:rPr>
        <w:t xml:space="preserve"> </w:t>
      </w:r>
      <w:r>
        <w:rPr>
          <w:szCs w:val="22"/>
        </w:rPr>
        <w:t xml:space="preserve">округа город Шахунья Нижегородской области.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3.2.2.3. Сроки и этапы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2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b/>
          <w:bCs/>
          <w:szCs w:val="22"/>
        </w:rPr>
        <w:t xml:space="preserve">Мероприятие</w:t>
      </w:r>
      <w:r>
        <w:rPr>
          <w:szCs w:val="22"/>
        </w:rPr>
        <w:t xml:space="preserve"> 2 </w:t>
      </w:r>
      <w:r>
        <w:rPr>
          <w:szCs w:val="22"/>
        </w:rPr>
        <w:t xml:space="preserve">«</w:t>
      </w:r>
      <w:r>
        <w:rPr>
          <w:szCs w:val="22"/>
        </w:rPr>
        <w:t xml:space="preserve">Проведение капитального ремонта муниципальных жилых помещений жилого фонда и нежилых помещений муниципальной формы собственности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</w:t>
      </w:r>
      <w:r>
        <w:rPr>
          <w:szCs w:val="22"/>
        </w:rPr>
        <w:t xml:space="preserve">»</w:t>
      </w:r>
      <w:r>
        <w:rPr>
          <w:szCs w:val="22"/>
        </w:rPr>
        <w:t xml:space="preserve"> будет реализовано в период 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годов в </w:t>
      </w:r>
      <w:r>
        <w:rPr>
          <w:szCs w:val="22"/>
        </w:rPr>
        <w:t xml:space="preserve">один</w:t>
      </w:r>
      <w:r>
        <w:rPr>
          <w:szCs w:val="22"/>
        </w:rPr>
        <w:t xml:space="preserve"> этап.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941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</w:r>
      <w:r>
        <w:rPr>
          <w:b/>
          <w:szCs w:val="22"/>
        </w:rPr>
        <w:t xml:space="preserve">3.2.2.4. Перечень основных мероприятий Мероприятия 2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основным мероприятиям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отражена в Таблице 1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«Перечень основных мероприятий Муниципальной программы».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3.2.2.5. Индикаторы достижения цели и непосредственные результаты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2.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основным мероприятиям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отражена в Таблица 2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«Сведения об индикаторах и непосредственных результатах».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3.2.2.6. Прогноз сводных показателей муниципальных заданий на оказание муниципальных услуг (работ)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2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рамках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не предусматривается оказание муниципальных услуг (работ) физическим и юридическим лицам. </w:t>
      </w:r>
      <w:r>
        <w:rPr>
          <w:szCs w:val="22"/>
        </w:rPr>
      </w:r>
      <w:r>
        <w:rPr>
          <w:szCs w:val="22"/>
        </w:rPr>
      </w:r>
    </w:p>
    <w:p>
      <w:pPr>
        <w:spacing w:after="8" w:line="271" w:lineRule="auto"/>
      </w:pPr>
      <w:r>
        <w:rPr>
          <w:b/>
          <w:szCs w:val="22"/>
          <w:highlight w:val="none"/>
        </w:rPr>
      </w:r>
      <w:r>
        <w:rPr>
          <w:b/>
          <w:szCs w:val="22"/>
          <w:highlight w:val="none"/>
        </w:rPr>
      </w:r>
    </w:p>
    <w:p>
      <w:pPr>
        <w:jc w:val="center"/>
        <w:spacing w:after="8" w:line="271" w:lineRule="auto"/>
        <w:rPr>
          <w:b/>
          <w:bCs/>
          <w:highlight w:val="none"/>
        </w:rPr>
      </w:pPr>
      <w:r>
        <w:rPr>
          <w:b/>
          <w:szCs w:val="22"/>
        </w:rPr>
        <w:t xml:space="preserve">3.2.2.7. Участие в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2 муниципальных унитарных предприятий, акционерных обществ. </w:t>
      </w:r>
      <w:r>
        <w:rPr>
          <w:szCs w:val="22"/>
        </w:rPr>
      </w:r>
      <w:r>
        <w:rPr>
          <w:b/>
          <w:bCs/>
          <w:highlight w:val="none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реализации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не принимают участия муниципальные унитарные предприятия, акционерные общества, общественные, научные и иные организации, а также внебюджетные фонды.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3.2.2.8. Обоснование объема финансовых ресурсов. 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ресурсному обеспечению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за счет средств бюджета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(с расшифровкой по основным мероприятиям, а также по годам реализации  программы) отражается по форме согласно таблицы 3 «Ресурсное обеспечение реализации Муниципальной программы за счет средств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области» и таблицы 4</w:t>
      </w:r>
      <w:r>
        <w:rPr>
          <w:b/>
          <w:szCs w:val="22"/>
        </w:rPr>
        <w:t xml:space="preserve"> </w:t>
      </w:r>
      <w:r>
        <w:rPr>
          <w:szCs w:val="22"/>
        </w:rPr>
        <w:t xml:space="preserve">«Прогнозная оценка расходов на реализацию Муниципальной программы за счет всех источников». </w:t>
      </w:r>
      <w:r>
        <w:rPr>
          <w:szCs w:val="22"/>
        </w:rPr>
        <w:t xml:space="preserve">  </w:t>
      </w:r>
      <w:r>
        <w:rPr>
          <w:szCs w:val="22"/>
        </w:rPr>
      </w:r>
      <w:r>
        <w:rPr>
          <w:szCs w:val="22"/>
        </w:rPr>
      </w:r>
    </w:p>
    <w:p>
      <w:pPr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3.2.2.9. Анализ рисков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2 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Анализ рисков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описывается в п.</w:t>
      </w:r>
      <w:r>
        <w:rPr>
          <w:b/>
          <w:szCs w:val="22"/>
        </w:rPr>
        <w:t xml:space="preserve"> </w:t>
      </w:r>
      <w:r>
        <w:rPr>
          <w:szCs w:val="22"/>
        </w:rPr>
        <w:t xml:space="preserve">2.9. «Анализ рисков реализации Муниципальной программы».  </w:t>
      </w:r>
      <w:r>
        <w:rPr>
          <w:szCs w:val="22"/>
        </w:rPr>
      </w:r>
      <w:r>
        <w:rPr>
          <w:szCs w:val="22"/>
        </w:rPr>
      </w:r>
    </w:p>
    <w:p>
      <w:pPr>
        <w:spacing w:after="31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  <w:t xml:space="preserve">3.2.2.10 Оценка эффективности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2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Оценка эффективности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2 описывается в п.2.</w:t>
      </w:r>
      <w:r>
        <w:rPr>
          <w:szCs w:val="22"/>
        </w:rPr>
        <w:t xml:space="preserve">10. «</w:t>
      </w:r>
      <w:r>
        <w:rPr>
          <w:szCs w:val="22"/>
        </w:rPr>
        <w:t xml:space="preserve">Оценка эффективности Муниципальной программы».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line="259" w:lineRule="auto"/>
      </w:pPr>
      <w:r>
        <w:rPr>
          <w:b/>
          <w:szCs w:val="22"/>
        </w:rPr>
        <w:t xml:space="preserve">3.3. </w:t>
      </w:r>
      <w:r>
        <w:rPr>
          <w:b/>
          <w:bCs/>
          <w:szCs w:val="22"/>
        </w:rPr>
        <w:t xml:space="preserve">Мероприятие</w:t>
      </w:r>
      <w:r>
        <w:rPr>
          <w:b/>
          <w:szCs w:val="22"/>
        </w:rPr>
        <w:t xml:space="preserve"> 3 </w:t>
      </w:r>
      <w:r>
        <w:rPr>
          <w:b/>
          <w:szCs w:val="22"/>
        </w:rPr>
        <w:t xml:space="preserve">«</w:t>
      </w:r>
      <w:r>
        <w:rPr>
          <w:b/>
          <w:szCs w:val="22"/>
        </w:rPr>
        <w:t xml:space="preserve">Обслуживание объектов жилищно-коммунального </w:t>
      </w:r>
      <w:r>
        <w:rPr>
          <w:b/>
          <w:szCs w:val="22"/>
        </w:rPr>
        <w:t xml:space="preserve">хозяйства</w:t>
      </w:r>
      <w:r>
        <w:rPr>
          <w:b/>
          <w:szCs w:val="22"/>
        </w:rPr>
        <w:t xml:space="preserve">»</w:t>
      </w:r>
      <w:r>
        <w:rPr>
          <w:b/>
          <w:szCs w:val="22"/>
        </w:rPr>
        <w:t xml:space="preserve"> </w:t>
      </w:r>
      <w:r/>
      <w:r>
        <w:rPr>
          <w:b/>
          <w:bCs/>
          <w:szCs w:val="22"/>
        </w:rPr>
      </w:r>
    </w:p>
    <w:p>
      <w:pPr>
        <w:jc w:val="left"/>
        <w:spacing w:line="259" w:lineRule="auto"/>
        <w:rPr>
          <w:b/>
          <w:bCs/>
        </w:rPr>
      </w:pPr>
      <w:r>
        <w:t xml:space="preserve">(Закупка товаров, работ и услуг для обеспечения государственных (муниципальных) нужд</w:t>
      </w:r>
      <w:r>
        <w:t xml:space="preserve">.</w:t>
      </w:r>
      <w:r>
        <w:rPr>
          <w:b/>
          <w:bCs/>
          <w:szCs w:val="22"/>
        </w:rPr>
      </w:r>
      <w:r/>
    </w:p>
    <w:p>
      <w:pPr>
        <w:jc w:val="center"/>
        <w:spacing w:after="26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402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/>
      <w:bookmarkStart w:id="2" w:name="_Hlk130547236"/>
      <w:r>
        <w:rPr>
          <w:b/>
          <w:szCs w:val="22"/>
        </w:rPr>
        <w:t xml:space="preserve">3.3.1. Паспорт Мероприятия 3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021" w:type="dxa"/>
        <w:tblInd w:w="0" w:type="dxa"/>
        <w:tblCellMar>
          <w:left w:w="74" w:type="dxa"/>
          <w:top w:w="45" w:type="dxa"/>
          <w:right w:w="14" w:type="dxa"/>
        </w:tblCellMar>
        <w:tblLook w:val="04A0" w:firstRow="1" w:lastRow="0" w:firstColumn="1" w:lastColumn="0" w:noHBand="0" w:noVBand="1"/>
      </w:tblPr>
      <w:tblGrid>
        <w:gridCol w:w="2609"/>
        <w:gridCol w:w="12412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 координатор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</w:rPr>
              <w:t xml:space="preserve">(Управление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  <w:highlight w:val="red"/>
              </w:rPr>
            </w:r>
            <w:r>
              <w:rPr>
                <w:rFonts w:ascii="Times New Roman" w:hAnsi="Times New Roman"/>
                <w:highlight w:val="red"/>
              </w:rPr>
            </w:r>
          </w:p>
        </w:tc>
      </w:tr>
      <w:tr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благоприятных условий для пользователей услуг бюджетных, автономных и иных учреждений;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благоприятных условий для пользователей услуг бюджетных, автономных и иных учреждений;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3 реализуется в течение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ind w:right="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за счет средств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jc w:val="both"/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всего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рублей, в том числе по годам реализации: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2026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 –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540"/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2027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 –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рублей;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540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 xml:space="preserve">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год – </w:t>
            </w:r>
            <w:r>
              <w:rPr>
                <w:rFonts w:ascii="Times New Roman" w:hAnsi="Times New Roman"/>
              </w:rPr>
              <w:t xml:space="preserve">0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рублей.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6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9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12" w:type="dxa"/>
            <w:textDirection w:val="lrTb"/>
            <w:noWrap w:val="false"/>
          </w:tcPr>
          <w:p>
            <w:pPr>
              <w:spacing w:after="18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3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1" w:line="27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/>
              </w:rPr>
              <w:t xml:space="preserve">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0"/>
              <w:jc w:val="both"/>
              <w:spacing w:after="14" w:line="26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Обслуживание объектов жилищно-коммунального хозяйства</w:t>
            </w:r>
            <w:r>
              <w:rPr>
                <w:rFonts w:ascii="Times New Roman" w:hAnsi="Times New Roman"/>
              </w:rPr>
              <w:t xml:space="preserve">»</w:t>
            </w:r>
            <w:r>
              <w:rPr>
                <w:rFonts w:ascii="Times New Roman" w:hAnsi="Times New Roman"/>
              </w:rPr>
              <w:t xml:space="preserve"> (Иные бюджетные ассигнования) будут достигнуты следующие значения индикаторов и показатели непосредственных результатов: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Показатели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57"/>
              <w:jc w:val="both"/>
              <w:spacing w:after="5" w:line="26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Общее количество посетителей, пользующихся услугами бюджетных, автономных и иных некоммерческих организаций</w:t>
            </w:r>
            <w:r>
              <w:rPr>
                <w:rFonts w:ascii="Times New Roman" w:hAnsi="Times New Roman"/>
              </w:rPr>
              <w:t xml:space="preserve"> в сфере жилищно-коммунального хозяйства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</w:t>
            </w:r>
            <w:r>
              <w:rPr>
                <w:rFonts w:ascii="Times New Roman" w:hAnsi="Times New Roman"/>
              </w:rPr>
              <w:t xml:space="preserve">егородской области в период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годов составит – 15 600 человек, из них: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6"/>
              </w:numPr>
              <w:ind w:right="1889"/>
              <w:jc w:val="both"/>
              <w:spacing w:after="1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 году – 5 200 человек;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numPr>
                <w:ilvl w:val="0"/>
                <w:numId w:val="16"/>
              </w:numPr>
              <w:ind w:right="1889"/>
              <w:jc w:val="both"/>
              <w:spacing w:after="12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2</w:t>
            </w:r>
            <w:r>
              <w:rPr>
                <w:rFonts w:ascii="Times New Roman" w:hAnsi="Times New Roman"/>
              </w:rPr>
              <w:t xml:space="preserve">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году – 5 200 человек;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188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       </w:t>
            </w:r>
            <w:r>
              <w:rPr>
                <w:rFonts w:ascii="Times New Roman" w:hAnsi="Times New Roman"/>
              </w:rPr>
              <w:t xml:space="preserve"> в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году – 5 200 человек. </w:t>
            </w:r>
            <w:bookmarkEnd w:id="2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ind w:right="4515"/>
        <w:spacing w:after="57" w:line="232" w:lineRule="auto"/>
        <w:rPr>
          <w:szCs w:val="22"/>
        </w:rPr>
      </w:pPr>
      <w:r>
        <w:rPr>
          <w:sz w:val="22"/>
          <w:szCs w:val="22"/>
        </w:rPr>
        <w:t xml:space="preserve">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3.3.2. Текстовая часть Мероприятия 3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after="23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2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3.3.2.1. Характеристика текущего состояния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Реализация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должна обеспечить возмещения затрат или (и) недополученных доходов в связи с производством (реализацией)</w:t>
      </w:r>
      <w:r>
        <w:rPr>
          <w:sz w:val="26"/>
          <w:szCs w:val="22"/>
        </w:rPr>
        <w:t xml:space="preserve"> </w:t>
      </w:r>
      <w:r>
        <w:rPr>
          <w:szCs w:val="22"/>
        </w:rPr>
        <w:t xml:space="preserve">закупки товаров, работ и услуг для обеспечения государственных (муниципальных) нужд).</w:t>
      </w:r>
      <w:r>
        <w:rPr>
          <w:szCs w:val="22"/>
        </w:rPr>
      </w:r>
      <w:r>
        <w:rPr>
          <w:szCs w:val="22"/>
        </w:rPr>
      </w:r>
    </w:p>
    <w:p>
      <w:pPr>
        <w:spacing w:after="19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2481"/>
        <w:jc w:val="center"/>
        <w:spacing w:after="12" w:line="268" w:lineRule="auto"/>
        <w:rPr>
          <w:b/>
          <w:szCs w:val="22"/>
        </w:rPr>
      </w:pPr>
      <w:r>
        <w:rPr>
          <w:b/>
          <w:szCs w:val="22"/>
        </w:rPr>
        <w:t xml:space="preserve">3.3.2.2. Цели и задачи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right="2481"/>
        <w:jc w:val="both"/>
        <w:spacing w:after="12" w:line="268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  <w:t xml:space="preserve">Задачи, для достижения поставленной цели следующие: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- Создание благоприятных условий для пользователей услуг бюджетных, автономных и иных учреждений; </w:t>
      </w:r>
      <w:r>
        <w:rPr>
          <w:szCs w:val="22"/>
        </w:rPr>
      </w:r>
      <w:r>
        <w:rPr>
          <w:szCs w:val="22"/>
        </w:rPr>
      </w:r>
    </w:p>
    <w:p>
      <w:pPr>
        <w:spacing w:after="27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3.3.2.3. Сроки и этапы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3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3.1. </w:t>
      </w:r>
      <w:r>
        <w:rPr>
          <w:szCs w:val="22"/>
        </w:rPr>
        <w:t xml:space="preserve">«</w:t>
      </w:r>
      <w:r>
        <w:rPr>
          <w:szCs w:val="22"/>
        </w:rPr>
        <w:t xml:space="preserve">Обслуживание объектов жилищно-коммунального хозяйства</w:t>
      </w:r>
      <w:r>
        <w:rPr>
          <w:szCs w:val="22"/>
        </w:rPr>
        <w:t xml:space="preserve">»</w:t>
      </w:r>
      <w:r>
        <w:rPr>
          <w:szCs w:val="22"/>
        </w:rPr>
        <w:t xml:space="preserve"> </w:t>
      </w:r>
      <w:r>
        <w:t xml:space="preserve">(Закупка товаров, работ и услуг для обеспечения государственных (муниципальных) нужд</w:t>
      </w:r>
      <w:r>
        <w:t xml:space="preserve">.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3.2. </w:t>
      </w:r>
      <w:r>
        <w:rPr>
          <w:szCs w:val="22"/>
        </w:rPr>
        <w:t xml:space="preserve">«</w:t>
      </w:r>
      <w:r>
        <w:rPr>
          <w:szCs w:val="22"/>
        </w:rPr>
        <w:t xml:space="preserve">Обслуживание объектов жилищно-коммунального хозяйства</w:t>
      </w:r>
      <w:r>
        <w:rPr>
          <w:szCs w:val="22"/>
        </w:rPr>
        <w:t xml:space="preserve">»</w:t>
      </w:r>
      <w:r>
        <w:rPr>
          <w:szCs w:val="22"/>
        </w:rPr>
        <w:t xml:space="preserve"> (Иные бюджетные ассигнования)" </w:t>
      </w:r>
      <w:bookmarkStart w:id="3" w:name="_Hlk130549651"/>
      <w:r>
        <w:rPr>
          <w:szCs w:val="22"/>
        </w:rPr>
        <w:t xml:space="preserve">будет реализована в период 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годах в </w:t>
      </w:r>
      <w:r>
        <w:rPr>
          <w:szCs w:val="22"/>
        </w:rPr>
        <w:t xml:space="preserve">один </w:t>
      </w:r>
      <w:r>
        <w:rPr>
          <w:szCs w:val="22"/>
        </w:rPr>
        <w:t xml:space="preserve">этап. </w:t>
      </w:r>
      <w:bookmarkEnd w:id="3"/>
      <w:r>
        <w:rPr>
          <w:szCs w:val="22"/>
        </w:rPr>
      </w:r>
      <w:r>
        <w:rPr>
          <w:szCs w:val="22"/>
        </w:rPr>
      </w:r>
    </w:p>
    <w:p>
      <w:pPr>
        <w:jc w:val="center"/>
        <w:spacing w:after="24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ind w:right="539"/>
        <w:jc w:val="center"/>
        <w:keepLines/>
        <w:keepNext/>
        <w:spacing w:after="3" w:line="270" w:lineRule="auto"/>
        <w:rPr>
          <w:b/>
          <w:szCs w:val="22"/>
        </w:rPr>
        <w:outlineLvl w:val="2"/>
      </w:pPr>
      <w:r>
        <w:rPr>
          <w:b/>
          <w:szCs w:val="22"/>
        </w:rPr>
        <w:t xml:space="preserve">3.2.2.4. Перечень основных мероприятий Мероприятия 3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основным мероприятиям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отражена в Таблице 1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«Перечень основных мероприятий Муниципальной программы».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30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3.3.2.5. Индикаторы достижения цели и непосредственные результаты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3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основным мероприятиям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отражена в Таблица 2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«Сведения об индикаторах и непосредственных результатах».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30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3.3.2.6. Прогноз сводных показателей муниципальных заданий на оказание муниципальных услуг (работ)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3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рамках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не предусматривается оказание муниципальных услуг (работ) физическим и юридическим лицам. </w:t>
      </w:r>
      <w:r>
        <w:rPr>
          <w:szCs w:val="22"/>
        </w:rPr>
      </w:r>
      <w:r>
        <w:rPr>
          <w:szCs w:val="22"/>
        </w:rPr>
      </w:r>
    </w:p>
    <w:p>
      <w:pPr>
        <w:spacing w:after="30"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3.3.2.7. Участие в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3 муниципальных унитарных предприятий, акционерных обществ.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В реализации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не принимают участия муниципальные унитарные предприятия, акционерные общества, общественные, научные и иные организации, а также внебюджетные фонды.</w:t>
      </w: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24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3.3.2.8. Обоснование объема финансовых ресурсов.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Информация по ресурсному обеспечению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за счет средств бюджета </w:t>
      </w:r>
      <w:r>
        <w:t xml:space="preserve">муниципального</w:t>
      </w:r>
      <w:r>
        <w:rPr>
          <w:szCs w:val="22"/>
        </w:rPr>
        <w:t xml:space="preserve"> округа город Шахунья Нижегородской области (с расшифровкой по основным мероприятиям, а также по годам реализации  программы) отражается по форме согласно таблицы 3 «Ресурсное обеспечение реализации Муниципальной программы за счет средств</w:t>
      </w:r>
      <w:r>
        <w:t xml:space="preserve"> </w:t>
      </w:r>
      <w:r>
        <w:t xml:space="preserve">муниципального</w:t>
      </w:r>
      <w:r>
        <w:rPr>
          <w:szCs w:val="22"/>
        </w:rPr>
        <w:t xml:space="preserve"> </w:t>
      </w:r>
      <w:r>
        <w:rPr>
          <w:szCs w:val="22"/>
        </w:rPr>
        <w:t xml:space="preserve">округа город Шахунья Нижегородской области» и таблицы 4</w:t>
      </w:r>
      <w:r>
        <w:rPr>
          <w:b/>
          <w:szCs w:val="22"/>
        </w:rPr>
        <w:t xml:space="preserve"> </w:t>
      </w:r>
      <w:r>
        <w:rPr>
          <w:szCs w:val="22"/>
        </w:rPr>
        <w:t xml:space="preserve">«Прогнозная оценка расходов на реализацию Муниципальной программы за счет всех источников».  </w:t>
      </w: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spacing w:after="22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3.3.2.9. Анализ рисков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3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szCs w:val="22"/>
        </w:rPr>
      </w:pPr>
      <w:r>
        <w:rPr>
          <w:szCs w:val="22"/>
        </w:rPr>
        <w:t xml:space="preserve">Анализ рисков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описывается в п.</w:t>
      </w:r>
      <w:r>
        <w:rPr>
          <w:b/>
          <w:szCs w:val="22"/>
        </w:rPr>
        <w:t xml:space="preserve"> </w:t>
      </w:r>
      <w:r>
        <w:rPr>
          <w:szCs w:val="22"/>
        </w:rPr>
        <w:t xml:space="preserve">2.9. «Анализ рисков реализации Муниципальной программы».  </w:t>
      </w:r>
      <w:r>
        <w:rPr>
          <w:szCs w:val="22"/>
        </w:rPr>
      </w:r>
      <w:r>
        <w:rPr>
          <w:szCs w:val="22"/>
        </w:rPr>
      </w:r>
    </w:p>
    <w:p>
      <w:pPr>
        <w:spacing w:after="22" w:line="259" w:lineRule="auto"/>
        <w:rPr>
          <w:szCs w:val="22"/>
        </w:rPr>
      </w:pPr>
      <w:r>
        <w:rPr>
          <w:b/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p>
      <w:pPr>
        <w:jc w:val="center"/>
        <w:spacing w:after="8" w:line="271" w:lineRule="auto"/>
        <w:rPr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3.3.2.10 Оценка эффективности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3 </w:t>
      </w:r>
      <w:r>
        <w:rPr>
          <w:szCs w:val="22"/>
        </w:rPr>
      </w:r>
      <w:r>
        <w:rPr>
          <w:szCs w:val="22"/>
        </w:rPr>
      </w:r>
    </w:p>
    <w:p>
      <w:pPr>
        <w:jc w:val="both"/>
        <w:spacing w:after="12" w:line="268" w:lineRule="auto"/>
        <w:rPr>
          <w:highlight w:val="none"/>
        </w:rPr>
      </w:pPr>
      <w:r>
        <w:rPr>
          <w:szCs w:val="22"/>
        </w:rPr>
        <w:t xml:space="preserve">Оценка эффективности </w:t>
      </w:r>
      <w:r>
        <w:rPr>
          <w:b/>
          <w:bCs/>
          <w:szCs w:val="22"/>
        </w:rPr>
        <w:t xml:space="preserve">Мероприятия</w:t>
      </w:r>
      <w:r>
        <w:rPr>
          <w:szCs w:val="22"/>
        </w:rPr>
        <w:t xml:space="preserve"> 3 описывается в п.2.10.«Оценка эффективности Муниципальной программы». </w:t>
      </w:r>
      <w:r>
        <w:rPr>
          <w:szCs w:val="22"/>
        </w:rPr>
      </w:r>
      <w:r>
        <w:rPr>
          <w:highlight w:val="none"/>
        </w:rPr>
      </w:r>
    </w:p>
    <w:p>
      <w:pPr>
        <w:jc w:val="both"/>
        <w:spacing w:after="12" w:line="268" w:lineRule="auto"/>
      </w:pP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ind w:right="402"/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3.3.2.11. Паспорт Мероприятия 4 </w:t>
      </w:r>
      <w:r>
        <w:rPr>
          <w:b/>
          <w:sz w:val="23"/>
          <w:szCs w:val="23"/>
        </w:rPr>
        <w:t xml:space="preserve">«</w:t>
      </w:r>
      <w:r>
        <w:rPr>
          <w:b/>
          <w:sz w:val="23"/>
          <w:szCs w:val="23"/>
        </w:rPr>
        <w:t xml:space="preserve">Газификация</w:t>
      </w: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муниципального</w:t>
      </w:r>
      <w:r>
        <w:rPr>
          <w:b/>
          <w:sz w:val="23"/>
          <w:szCs w:val="23"/>
        </w:rPr>
        <w:t xml:space="preserve"> округа город Шахунья».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line="259" w:lineRule="auto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</w:r>
      <w:r>
        <w:rPr>
          <w:szCs w:val="22"/>
        </w:rPr>
      </w:r>
    </w:p>
    <w:tbl>
      <w:tblPr>
        <w:tblStyle w:val="1402"/>
        <w:tblW w:w="15021" w:type="dxa"/>
        <w:tblInd w:w="0" w:type="dxa"/>
        <w:tblCellMar>
          <w:left w:w="74" w:type="dxa"/>
          <w:top w:w="45" w:type="dxa"/>
          <w:right w:w="14" w:type="dxa"/>
        </w:tblCellMar>
        <w:tblLook w:val="04A0" w:firstRow="1" w:lastRow="0" w:firstColumn="1" w:lastColumn="0" w:noHBand="0" w:noVBand="1"/>
      </w:tblPr>
      <w:tblGrid>
        <w:gridCol w:w="2830"/>
        <w:gridCol w:w="12191"/>
      </w:tblGrid>
      <w:tr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ind w:right="61"/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заказчик -координатор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ind w:right="61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муниципального округа город Шахунья Нижегородской области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65"/>
              <w:jc w:val="center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</w:t>
            </w:r>
            <w:r>
              <w:rPr>
                <w:rFonts w:ascii="Times New Roman" w:hAnsi="Times New Roman"/>
              </w:rPr>
              <w:t xml:space="preserve">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8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Соисполнители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Управление</w:t>
            </w:r>
            <w:r>
              <w:rPr>
                <w:rFonts w:ascii="Times New Roman" w:hAnsi="Times New Roman"/>
              </w:rPr>
              <w:t xml:space="preserve"> жилищно-коммунального хозяйства </w:t>
            </w:r>
            <w:r>
              <w:rPr>
                <w:rFonts w:ascii="Times New Roman" w:hAnsi="Times New Roman"/>
              </w:rPr>
              <w:t xml:space="preserve">и архитектурной деятельности </w:t>
            </w:r>
            <w:r>
              <w:rPr>
                <w:rFonts w:ascii="Times New Roman" w:hAnsi="Times New Roman"/>
              </w:rPr>
              <w:t xml:space="preserve">администрации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город Шахунья Нижегородской области;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Цели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газотранспортной и газораспределительной инфраструктуры на территории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МО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 Нижегородской области, перевод промышленных организаций, объектов коммунальной инфраструктуры на использование газа в качестве энергетического ресурса.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газораспределительной и газотранспортной инфраструктуры окажет положительное влияние на развитие экономики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округа город Шахунья, будет способствовать повышению ее инвестиционной привлекательности, улучшению экологической обстановки, росту промышленного производства, что в итоге приведет к повышению уровня жизни населения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МО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Шахунья.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Этапы и сроки реализации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Мероприятие</w:t>
            </w:r>
            <w:r>
              <w:rPr>
                <w:rFonts w:ascii="Times New Roman" w:hAnsi="Times New Roman"/>
              </w:rPr>
              <w:t xml:space="preserve"> 4 реализуется в течение 202</w:t>
            </w:r>
            <w:r>
              <w:rPr>
                <w:rFonts w:ascii="Times New Roman" w:hAnsi="Times New Roman"/>
              </w:rPr>
              <w:t xml:space="preserve">6</w:t>
            </w:r>
            <w:r>
              <w:rPr>
                <w:rFonts w:ascii="Times New Roman" w:hAnsi="Times New Roman"/>
              </w:rPr>
              <w:t xml:space="preserve">-202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ind w:right="9"/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бюджетных ассигнований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 за счет средств бюджета </w:t>
            </w:r>
            <w:r>
              <w:rPr>
                <w:rFonts w:ascii="Times New Roman" w:hAnsi="Times New Roman"/>
              </w:rPr>
              <w:t xml:space="preserve">муниципального</w:t>
            </w:r>
            <w:r>
              <w:rPr>
                <w:rFonts w:ascii="Times New Roman" w:hAnsi="Times New Roman"/>
              </w:rPr>
              <w:t xml:space="preserve"> округа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line="27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Объемы финансирования </w:t>
            </w:r>
            <w:r>
              <w:rPr>
                <w:rFonts w:ascii="Times New Roman" w:hAnsi="Times New Roman"/>
                <w:b/>
                <w:bCs/>
              </w:rPr>
              <w:t xml:space="preserve">Мероприятия</w:t>
            </w:r>
            <w:r>
              <w:rPr>
                <w:rFonts w:ascii="Times New Roman" w:hAnsi="Times New Roman"/>
              </w:rPr>
              <w:t xml:space="preserve"> 4, всего </w:t>
            </w:r>
            <w:r>
              <w:rPr>
                <w:rFonts w:ascii="Times New Roman" w:hAnsi="Times New Roman"/>
                <w:color w:val="000000"/>
              </w:rPr>
              <w:t xml:space="preserve">4</w:t>
            </w:r>
            <w:r>
              <w:rPr>
                <w:rFonts w:ascii="Times New Roman" w:hAnsi="Times New Roman"/>
                <w:color w:val="000000"/>
              </w:rPr>
              <w:t xml:space="preserve">2</w:t>
            </w: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  <w:t xml:space="preserve">066</w:t>
            </w:r>
            <w:r>
              <w:rPr>
                <w:rFonts w:ascii="Times New Roman" w:hAnsi="Times New Roman"/>
                <w:color w:val="000000"/>
              </w:rPr>
              <w:t xml:space="preserve"> </w:t>
            </w:r>
            <w:r>
              <w:rPr>
                <w:rFonts w:ascii="Times New Roman" w:hAnsi="Times New Roman"/>
                <w:color w:val="000000"/>
              </w:rPr>
              <w:t xml:space="preserve">10</w:t>
            </w:r>
            <w:r>
              <w:rPr>
                <w:rFonts w:ascii="Times New Roman" w:hAnsi="Times New Roman"/>
                <w:color w:val="000000"/>
              </w:rPr>
              <w:t xml:space="preserve">0,00</w:t>
            </w:r>
            <w:r>
              <w:rPr>
                <w:rFonts w:ascii="Times New Roman" w:hAnsi="Times New Roman"/>
              </w:rPr>
              <w:t xml:space="preserve">рублей, в том числе по годам реализации: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154"/>
              <w:ind w:left="1020"/>
              <w:jc w:val="both"/>
              <w:spacing w:after="1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37 575 800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рублей;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ind w:left="540"/>
              <w:jc w:val="both"/>
              <w:spacing w:after="5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202</w:t>
            </w:r>
            <w:r>
              <w:rPr>
                <w:rFonts w:ascii="Times New Roman" w:hAnsi="Times New Roman"/>
              </w:rPr>
              <w:t xml:space="preserve">7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</w:rPr>
              <w:t xml:space="preserve">4 490 300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202</w:t>
            </w:r>
            <w:r>
              <w:rPr>
                <w:rFonts w:ascii="Times New Roman" w:hAnsi="Times New Roman"/>
              </w:rPr>
              <w:t xml:space="preserve">8</w:t>
            </w:r>
            <w:r>
              <w:rPr>
                <w:rFonts w:ascii="Times New Roman" w:hAnsi="Times New Roman"/>
              </w:rPr>
              <w:t xml:space="preserve"> год – </w:t>
            </w:r>
            <w:r>
              <w:rPr>
                <w:rFonts w:ascii="Times New Roman" w:hAnsi="Times New Roman"/>
                <w:color w:val="000000"/>
              </w:rPr>
              <w:t xml:space="preserve">0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 xml:space="preserve">рублей.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36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0" w:type="dxa"/>
            <w:textDirection w:val="lrTb"/>
            <w:noWrap w:val="false"/>
          </w:tcPr>
          <w:p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Индикаторы достижения цели и показатели непосредственных результатов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91" w:type="dxa"/>
            <w:textDirection w:val="lrTb"/>
            <w:noWrap w:val="false"/>
          </w:tcPr>
          <w:p>
            <w:pPr>
              <w:jc w:val="both"/>
              <w:spacing w:after="12" w:line="26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Проектные работы по объект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ам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источника теплоснабжения (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блочно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модульной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котельной)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 природном газе и реконструкция   тепловых сетей в г. Шахунья, для обеспечения жителей теплоснабжением и горячим водоснабжением, проживающих  в  МКД, расположенных по улице Октябрьская, Карла Маркса, Папанина, Деповская.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  <w:p>
            <w:pPr>
              <w:jc w:val="both"/>
              <w:spacing w:after="12" w:line="268" w:lineRule="auto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    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Строительство котельн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ых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на природном газе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в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Шахунья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: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ул.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Советская д. 100, ул.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Пасхина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д. 4, ул. Энгельса д. 18а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  <w:shd w:val="clear" w:color="auto" w:fill="ffffff"/>
              </w:rPr>
            </w:r>
          </w:p>
        </w:tc>
      </w:tr>
    </w:tbl>
    <w:p>
      <w:pPr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keepLines/>
        <w:keepNext/>
        <w:spacing w:after="3" w:line="270" w:lineRule="auto"/>
        <w:rPr>
          <w:b/>
          <w:szCs w:val="22"/>
        </w:rPr>
        <w:outlineLvl w:val="1"/>
      </w:pPr>
      <w:r>
        <w:rPr>
          <w:b/>
          <w:szCs w:val="22"/>
        </w:rPr>
        <w:t xml:space="preserve"> 3.3.2.12 Текстовая часть Мероприятия 4 </w:t>
      </w:r>
      <w:r>
        <w:rPr>
          <w:b/>
          <w:szCs w:val="22"/>
        </w:rPr>
      </w:r>
      <w:r>
        <w:rPr>
          <w:b/>
          <w:szCs w:val="22"/>
        </w:rPr>
      </w:r>
    </w:p>
    <w:p>
      <w:pPr>
        <w:jc w:val="center"/>
        <w:spacing w:line="259" w:lineRule="auto"/>
        <w:rPr>
          <w:szCs w:val="22"/>
        </w:rPr>
      </w:pPr>
      <w:r>
        <w:rPr>
          <w:b/>
          <w:bCs/>
          <w:szCs w:val="22"/>
        </w:rPr>
      </w:r>
      <w:r>
        <w:rPr>
          <w:b/>
          <w:bCs/>
          <w:szCs w:val="22"/>
        </w:rPr>
        <w:t xml:space="preserve">3.3.2.13</w:t>
      </w:r>
      <w:r>
        <w:rPr>
          <w:szCs w:val="22"/>
        </w:rPr>
        <w:t xml:space="preserve"> </w:t>
      </w:r>
      <w:r>
        <w:rPr>
          <w:b/>
          <w:bCs/>
          <w:szCs w:val="22"/>
        </w:rPr>
        <w:t xml:space="preserve">Характеристика текущего состояния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line="259" w:lineRule="auto"/>
        <w:rPr>
          <w:highlight w:val="none"/>
        </w:rPr>
      </w:pPr>
      <w:r>
        <w:rPr>
          <w:szCs w:val="22"/>
        </w:rPr>
        <w:t xml:space="preserve">Актуализация схем инфраструктуры </w:t>
      </w:r>
      <w:r>
        <w:t xml:space="preserve">муниципального</w:t>
      </w:r>
      <w:r>
        <w:rPr>
          <w:szCs w:val="22"/>
        </w:rPr>
        <w:t xml:space="preserve"> округа город Шахунья. </w:t>
      </w:r>
      <w:r>
        <w:rPr>
          <w:szCs w:val="22"/>
          <w:shd w:val="clear" w:color="auto" w:fill="ffffff"/>
        </w:rPr>
        <w:t xml:space="preserve">Обеспечение газоснабжения потребителей в Нижегородской области путем газификации природным газом жилищного фонда на территории </w:t>
      </w:r>
      <w:r>
        <w:rPr>
          <w:szCs w:val="22"/>
          <w:shd w:val="clear" w:color="auto" w:fill="ffffff"/>
        </w:rPr>
        <w:t xml:space="preserve">МО </w:t>
      </w:r>
      <w:r>
        <w:rPr>
          <w:szCs w:val="22"/>
          <w:shd w:val="clear" w:color="auto" w:fill="ffffff"/>
        </w:rPr>
        <w:t xml:space="preserve">г. Шахунья в рамках развития жилищно-коммунального хозяйства. Основными потребителями являются население, промышленные организации, объекты коммунальной инфраструктуры.</w:t>
      </w:r>
      <w:r>
        <w:rPr>
          <w:szCs w:val="22"/>
          <w:shd w:val="clear" w:color="auto" w:fill="ffffff"/>
        </w:rPr>
        <w:t xml:space="preserve"> </w:t>
      </w:r>
      <w:r>
        <w:rPr>
          <w:szCs w:val="22"/>
        </w:rPr>
      </w:r>
      <w:r>
        <w:rPr>
          <w:highlight w:val="none"/>
        </w:rPr>
      </w:r>
    </w:p>
    <w:p>
      <w:pPr>
        <w:ind w:firstLine="708"/>
        <w:jc w:val="both"/>
        <w:spacing w:line="259" w:lineRule="auto"/>
      </w:pP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jc w:val="center"/>
        <w:spacing w:line="259" w:lineRule="auto"/>
        <w:rPr>
          <w:b/>
          <w:bCs/>
          <w:szCs w:val="22"/>
        </w:rPr>
      </w:pPr>
      <w:r>
        <w:rPr>
          <w:b/>
          <w:bCs/>
          <w:szCs w:val="22"/>
        </w:rPr>
        <w:t xml:space="preserve">3.3.2.14 Цели и задачи</w:t>
      </w:r>
      <w:r>
        <w:rPr>
          <w:b/>
          <w:bCs/>
          <w:szCs w:val="22"/>
        </w:rPr>
      </w:r>
      <w:r>
        <w:rPr>
          <w:b/>
          <w:bCs/>
          <w:szCs w:val="22"/>
        </w:rPr>
      </w:r>
    </w:p>
    <w:p>
      <w:pPr>
        <w:ind w:firstLine="708"/>
        <w:jc w:val="both"/>
        <w:spacing w:line="259" w:lineRule="auto"/>
        <w:rPr>
          <w:szCs w:val="22"/>
        </w:rPr>
      </w:pPr>
      <w:r>
        <w:rPr>
          <w:szCs w:val="22"/>
          <w:shd w:val="clear" w:color="auto" w:fill="ffffff"/>
        </w:rPr>
        <w:t xml:space="preserve">Строительство газотранспортной и газораспределительной инфраструктуры на территории </w:t>
      </w:r>
      <w:r>
        <w:rPr>
          <w:szCs w:val="22"/>
          <w:shd w:val="clear" w:color="auto" w:fill="ffffff"/>
        </w:rPr>
        <w:t xml:space="preserve">МО </w:t>
      </w:r>
      <w:r>
        <w:rPr>
          <w:szCs w:val="22"/>
          <w:shd w:val="clear" w:color="auto" w:fill="ffffff"/>
        </w:rPr>
        <w:t xml:space="preserve">г. Шахунья Нижегородской области, перевод промышленных организаций, объектов коммунальной инфраструктуры на использование газа в качестве энергетического ресурса.</w:t>
      </w:r>
      <w:r>
        <w:rPr>
          <w:szCs w:val="22"/>
        </w:rPr>
      </w:r>
      <w:r>
        <w:rPr>
          <w:szCs w:val="22"/>
        </w:rPr>
      </w:r>
    </w:p>
    <w:p>
      <w:pPr>
        <w:ind w:firstLine="708"/>
        <w:jc w:val="both"/>
        <w:spacing w:line="259" w:lineRule="auto"/>
        <w:rPr>
          <w:highlight w:val="none"/>
        </w:rPr>
      </w:pPr>
      <w:r>
        <w:rPr>
          <w:szCs w:val="22"/>
          <w:shd w:val="clear" w:color="auto" w:fill="ffffff"/>
        </w:rPr>
        <w:t xml:space="preserve">Строительство газораспределительной и газотранспортной инфраструктуры окажет положительное влияние на развитие экономики </w:t>
      </w:r>
      <w:r>
        <w:t xml:space="preserve">муниципального</w:t>
      </w:r>
      <w:r>
        <w:rPr>
          <w:szCs w:val="22"/>
          <w:shd w:val="clear" w:color="auto" w:fill="ffffff"/>
        </w:rPr>
        <w:t xml:space="preserve"> округа город Шахунья, будет способствовать повышению ее инвестиционной привлекательности, улучшению экологической обстановки, росту промышленного производства, что в итоге приведет к повышению уровня жизни населения </w:t>
      </w:r>
      <w:r>
        <w:rPr>
          <w:szCs w:val="22"/>
          <w:shd w:val="clear" w:color="auto" w:fill="ffffff"/>
        </w:rPr>
        <w:t xml:space="preserve">МО </w:t>
      </w:r>
      <w:r>
        <w:rPr>
          <w:szCs w:val="22"/>
          <w:shd w:val="clear" w:color="auto" w:fill="ffffff"/>
        </w:rPr>
        <w:t xml:space="preserve">г. Шахунья.</w:t>
      </w:r>
      <w:r>
        <w:rPr>
          <w:szCs w:val="22"/>
        </w:rPr>
      </w:r>
      <w:r>
        <w:rPr>
          <w:highlight w:val="none"/>
        </w:rPr>
      </w:r>
    </w:p>
    <w:p>
      <w:pPr>
        <w:ind w:firstLine="708"/>
        <w:jc w:val="both"/>
        <w:spacing w:line="259" w:lineRule="auto"/>
      </w:pPr>
      <w:r>
        <w:rPr>
          <w:szCs w:val="22"/>
          <w:highlight w:val="none"/>
        </w:rPr>
      </w:r>
      <w:r>
        <w:rPr>
          <w:szCs w:val="22"/>
          <w:highlight w:val="none"/>
        </w:rPr>
      </w:r>
    </w:p>
    <w:p>
      <w:pPr>
        <w:jc w:val="center"/>
        <w:spacing w:after="8" w:line="271" w:lineRule="auto"/>
        <w:rPr>
          <w:b/>
          <w:szCs w:val="22"/>
        </w:rPr>
      </w:pPr>
      <w:r>
        <w:rPr>
          <w:b/>
          <w:szCs w:val="22"/>
        </w:rPr>
      </w:r>
      <w:r>
        <w:rPr>
          <w:b/>
          <w:szCs w:val="22"/>
        </w:rPr>
        <w:t xml:space="preserve">3.3.2.15. Сроки и этапы реализации </w:t>
      </w:r>
      <w:r>
        <w:rPr>
          <w:b/>
          <w:bCs/>
          <w:szCs w:val="22"/>
        </w:rPr>
        <w:t xml:space="preserve">Мероприятия</w:t>
      </w:r>
      <w:r>
        <w:rPr>
          <w:b/>
          <w:szCs w:val="22"/>
        </w:rPr>
        <w:t xml:space="preserve"> 4 </w:t>
      </w:r>
      <w:r>
        <w:rPr>
          <w:b/>
          <w:szCs w:val="22"/>
        </w:rPr>
      </w:r>
      <w:r>
        <w:rPr>
          <w:b/>
          <w:szCs w:val="22"/>
        </w:rPr>
      </w:r>
    </w:p>
    <w:p>
      <w:pPr>
        <w:ind w:firstLine="708"/>
        <w:jc w:val="both"/>
        <w:spacing w:after="100" w:afterAutospacing="1" w:line="271" w:lineRule="auto"/>
        <w:rPr>
          <w:szCs w:val="22"/>
        </w:rPr>
      </w:pPr>
      <w:r>
        <w:rPr>
          <w:rFonts w:ascii="Arial" w:hAnsi="Arial" w:cs="Arial"/>
          <w:szCs w:val="22"/>
          <w:shd w:val="clear" w:color="auto" w:fill="ffffff"/>
        </w:rPr>
        <w:t xml:space="preserve">«</w:t>
      </w:r>
      <w:r>
        <w:rPr>
          <w:szCs w:val="22"/>
          <w:shd w:val="clear" w:color="auto" w:fill="ffffff"/>
        </w:rPr>
        <w:t xml:space="preserve">Газификация </w:t>
      </w:r>
      <w:r>
        <w:t xml:space="preserve">муниципального</w:t>
      </w:r>
      <w:r>
        <w:rPr>
          <w:szCs w:val="22"/>
          <w:shd w:val="clear" w:color="auto" w:fill="ffffff"/>
        </w:rPr>
        <w:t xml:space="preserve"> округа город </w:t>
      </w:r>
      <w:r>
        <w:rPr>
          <w:szCs w:val="22"/>
          <w:shd w:val="clear" w:color="auto" w:fill="ffffff"/>
        </w:rPr>
        <w:t xml:space="preserve">Шахунья»</w:t>
      </w:r>
      <w:r>
        <w:rPr>
          <w:rFonts w:ascii="Arial" w:hAnsi="Arial" w:cs="Arial"/>
          <w:szCs w:val="22"/>
          <w:shd w:val="clear" w:color="auto" w:fill="ffffff"/>
        </w:rPr>
        <w:t xml:space="preserve"> (</w:t>
      </w:r>
      <w:r>
        <w:rPr>
          <w:szCs w:val="22"/>
          <w:shd w:val="clear" w:color="auto" w:fill="ffffff"/>
        </w:rPr>
        <w:t xml:space="preserve">газоснабжение и газораспределение в целях обеспечения потребителей округа природным газом в требуемых объемах, аудит, актуализация)</w:t>
      </w:r>
      <w:r>
        <w:rPr>
          <w:b/>
          <w:szCs w:val="22"/>
        </w:rPr>
        <w:t xml:space="preserve"> </w:t>
      </w:r>
      <w:r>
        <w:rPr>
          <w:szCs w:val="22"/>
        </w:rPr>
        <w:t xml:space="preserve">будет реализована в пери</w:t>
      </w:r>
      <w:r>
        <w:rPr>
          <w:szCs w:val="22"/>
        </w:rPr>
        <w:t xml:space="preserve">од </w:t>
      </w:r>
      <w:r>
        <w:rPr>
          <w:szCs w:val="22"/>
        </w:rPr>
        <w:t xml:space="preserve">202</w:t>
      </w:r>
      <w:r>
        <w:rPr>
          <w:szCs w:val="22"/>
        </w:rPr>
        <w:t xml:space="preserve">6</w:t>
      </w:r>
      <w:r>
        <w:rPr>
          <w:szCs w:val="22"/>
        </w:rPr>
        <w:t xml:space="preserve">-202</w:t>
      </w:r>
      <w:r>
        <w:rPr>
          <w:szCs w:val="22"/>
        </w:rPr>
        <w:t xml:space="preserve">8</w:t>
      </w:r>
      <w:r>
        <w:rPr>
          <w:szCs w:val="22"/>
        </w:rPr>
        <w:t xml:space="preserve"> год</w:t>
      </w:r>
      <w:r>
        <w:rPr>
          <w:szCs w:val="22"/>
        </w:rPr>
        <w:t xml:space="preserve">ов.</w:t>
      </w:r>
      <w:r>
        <w:rPr>
          <w:szCs w:val="22"/>
        </w:rPr>
      </w:r>
      <w:r>
        <w:rPr>
          <w:szCs w:val="22"/>
        </w:rPr>
      </w:r>
    </w:p>
    <w:p>
      <w:pPr>
        <w:jc w:val="center"/>
        <w:tabs>
          <w:tab w:val="left" w:pos="6465" w:leader="none"/>
        </w:tabs>
        <w:rPr>
          <w:szCs w:val="22"/>
        </w:rPr>
      </w:pPr>
      <w:r>
        <w:rPr>
          <w:szCs w:val="22"/>
        </w:rPr>
      </w:r>
      <w:r>
        <w:rPr>
          <w:szCs w:val="22"/>
        </w:rPr>
        <w:t xml:space="preserve">_____________________</w:t>
      </w:r>
      <w:r>
        <w:rPr>
          <w:szCs w:val="22"/>
        </w:rPr>
      </w:r>
      <w:r>
        <w:rPr>
          <w:szCs w:val="22"/>
        </w:rPr>
      </w:r>
    </w:p>
    <w:p>
      <w:pPr>
        <w:tabs>
          <w:tab w:val="left" w:pos="6465" w:leader="none"/>
        </w:tabs>
        <w:rPr>
          <w:szCs w:val="22"/>
        </w:rPr>
      </w:pPr>
      <w:r>
        <w:rPr>
          <w:szCs w:val="22"/>
        </w:rPr>
      </w:r>
      <w:r>
        <w:rPr>
          <w:szCs w:val="22"/>
        </w:rPr>
      </w:r>
      <w:r>
        <w:rPr>
          <w:szCs w:val="22"/>
        </w:rPr>
      </w:r>
    </w:p>
    <w:sectPr>
      <w:footnotePr/>
      <w:endnotePr/>
      <w:type w:val="nextPage"/>
      <w:pgSz w:w="16838" w:h="11906" w:orient="landscape"/>
      <w:pgMar w:top="1276" w:right="992" w:bottom="709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8"/>
      <w:rPr>
        <w:rStyle w:val="1149"/>
      </w:rPr>
      <w:framePr w:wrap="around" w:vAnchor="text" w:hAnchor="margin" w:xAlign="right" w:y="1"/>
    </w:pPr>
    <w:r>
      <w:rPr>
        <w:rStyle w:val="1149"/>
      </w:rPr>
      <w:fldChar w:fldCharType="begin"/>
    </w:r>
    <w:r>
      <w:rPr>
        <w:rStyle w:val="1149"/>
      </w:rPr>
      <w:instrText xml:space="preserve">PAGE  </w:instrText>
    </w:r>
    <w:r>
      <w:rPr>
        <w:rStyle w:val="1149"/>
      </w:rPr>
      <w:fldChar w:fldCharType="end"/>
    </w:r>
    <w:r>
      <w:rPr>
        <w:rStyle w:val="1149"/>
      </w:rPr>
    </w:r>
    <w:r>
      <w:rPr>
        <w:rStyle w:val="1149"/>
      </w:rPr>
    </w:r>
  </w:p>
  <w:p>
    <w:pPr>
      <w:pStyle w:val="114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59" w:lineRule="auto"/>
    </w:pPr>
    <w:r/>
    <w:r/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160" w:line="259" w:lineRule="auto"/>
    </w:pPr>
    <w:r/>
    <w:r/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/>
    <w:r/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1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1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59" w:lineRule="auto"/>
    </w:pPr>
    <w:r>
      <w:t xml:space="preserve"> </w:t>
    </w: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8"/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5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8"/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5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1"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59" w:lineRule="auto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 xml:space="preserve">8</w:t>
    </w:r>
    <w:r>
      <w:rPr>
        <w:sz w:val="22"/>
      </w:rPr>
      <w:fldChar w:fldCharType="end"/>
    </w:r>
    <w:r>
      <w:rPr>
        <w:sz w:val="22"/>
      </w:rPr>
      <w:t xml:space="preserve"> </w:t>
    </w:r>
    <w:r/>
  </w:p>
  <w:p>
    <w:pPr>
      <w:spacing w:line="259" w:lineRule="auto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58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057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9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201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273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345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417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489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25618" w:hanging="180"/>
      </w:pPr>
    </w:lvl>
  </w:abstractNum>
  <w:abstractNum w:abstractNumId="1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3"/>
      <w:numFmt w:val="decimal"/>
      <w:lvlRestart w:val="0"/>
      <w:isLgl w:val="false"/>
      <w:suff w:val="tab"/>
      <w:lvlText w:val="%1.%2."/>
      <w:lvlJc w:val="left"/>
      <w:pPr>
        <w:ind w:left="1553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68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40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412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84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56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28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7007"/>
      </w:pPr>
      <w:rPr>
        <w:rFonts w:ascii="Times New Roman" w:hAnsi="Times New Roman" w:eastAsia="Times New Roman" w:cs="Times New Roman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5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40" w:hanging="180"/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7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246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0" w:hanging="180"/>
      </w:pPr>
    </w:lvl>
  </w:abstractNum>
  <w:abstractNum w:abstractNumId="17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5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40" w:hanging="180"/>
      </w:pPr>
    </w:lvl>
  </w:abstractNum>
  <w:abstractNum w:abstractNumId="18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1">
    <w:multiLevelType w:val="hybridMultilevel"/>
    <w:lvl w:ilvl="0">
      <w:start w:val="2024"/>
      <w:numFmt w:val="decimal"/>
      <w:isLgl w:val="false"/>
      <w:suff w:val="tab"/>
      <w:lvlText w:val="%1"/>
      <w:lvlJc w:val="left"/>
      <w:pPr>
        <w:ind w:left="150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40" w:hanging="180"/>
      </w:pPr>
    </w:lvl>
  </w:abstractNum>
  <w:abstractNum w:abstractNumId="22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198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2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4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246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30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7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5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2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9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6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3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10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1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18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25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3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0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47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4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1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8">
    <w:multiLevelType w:val="hybridMultilevel"/>
    <w:lvl w:ilvl="0">
      <w:start w:val="2026"/>
      <w:numFmt w:val="decimal"/>
      <w:isLgl w:val="false"/>
      <w:suff w:val="tab"/>
      <w:lvlText w:val="%1"/>
      <w:lvlJc w:val="left"/>
      <w:pPr>
        <w:ind w:left="1320" w:hanging="48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60" w:hanging="180"/>
      </w:pPr>
    </w:lvl>
  </w:abstractNum>
  <w:abstractNum w:abstractNumId="29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3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7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2023"/>
      <w:numFmt w:val="decimal"/>
      <w:isLgl w:val="false"/>
      <w:suff w:val="tab"/>
      <w:lvlText w:val="%1"/>
      <w:lvlJc w:val="left"/>
      <w:pPr>
        <w:ind w:left="102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66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5">
    <w:multiLevelType w:val="hybridMultilevel"/>
    <w:lvl w:ilvl="0">
      <w:start w:val="2025"/>
      <w:numFmt w:val="decimal"/>
      <w:isLgl w:val="false"/>
      <w:suff w:val="tab"/>
      <w:lvlText w:val="%1"/>
      <w:lvlJc w:val="left"/>
      <w:pPr>
        <w:ind w:left="1980" w:hanging="4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3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9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20" w:hanging="180"/>
      </w:pPr>
    </w:lvl>
  </w:abstractNum>
  <w:num w:numId="1">
    <w:abstractNumId w:val="25"/>
  </w:num>
  <w:num w:numId="2">
    <w:abstractNumId w:val="27"/>
  </w:num>
  <w:num w:numId="3">
    <w:abstractNumId w:val="34"/>
  </w:num>
  <w:num w:numId="4">
    <w:abstractNumId w:val="13"/>
  </w:num>
  <w:num w:numId="5">
    <w:abstractNumId w:val="20"/>
  </w:num>
  <w:num w:numId="6">
    <w:abstractNumId w:val="2"/>
  </w:num>
  <w:num w:numId="7">
    <w:abstractNumId w:val="30"/>
  </w:num>
  <w:num w:numId="8">
    <w:abstractNumId w:val="31"/>
  </w:num>
  <w:num w:numId="9">
    <w:abstractNumId w:val="8"/>
  </w:num>
  <w:num w:numId="10">
    <w:abstractNumId w:val="6"/>
  </w:num>
  <w:num w:numId="11">
    <w:abstractNumId w:val="14"/>
  </w:num>
  <w:num w:numId="12">
    <w:abstractNumId w:val="7"/>
  </w:num>
  <w:num w:numId="13">
    <w:abstractNumId w:val="19"/>
  </w:num>
  <w:num w:numId="14">
    <w:abstractNumId w:val="23"/>
  </w:num>
  <w:num w:numId="15">
    <w:abstractNumId w:val="26"/>
  </w:num>
  <w:num w:numId="16">
    <w:abstractNumId w:val="4"/>
  </w:num>
  <w:num w:numId="17">
    <w:abstractNumId w:val="0"/>
  </w:num>
  <w:num w:numId="18">
    <w:abstractNumId w:val="18"/>
  </w:num>
  <w:num w:numId="19">
    <w:abstractNumId w:val="1"/>
  </w:num>
  <w:num w:numId="20">
    <w:abstractNumId w:val="33"/>
  </w:num>
  <w:num w:numId="21">
    <w:abstractNumId w:val="29"/>
  </w:num>
  <w:num w:numId="22">
    <w:abstractNumId w:val="5"/>
  </w:num>
  <w:num w:numId="23">
    <w:abstractNumId w:val="32"/>
  </w:num>
  <w:num w:numId="24">
    <w:abstractNumId w:val="12"/>
  </w:num>
  <w:num w:numId="25">
    <w:abstractNumId w:val="9"/>
  </w:num>
  <w:num w:numId="26">
    <w:abstractNumId w:val="21"/>
  </w:num>
  <w:num w:numId="27">
    <w:abstractNumId w:val="11"/>
  </w:num>
  <w:num w:numId="28">
    <w:abstractNumId w:val="10"/>
  </w:num>
  <w:num w:numId="29">
    <w:abstractNumId w:val="17"/>
  </w:num>
  <w:num w:numId="30">
    <w:abstractNumId w:val="22"/>
  </w:num>
  <w:num w:numId="31">
    <w:abstractNumId w:val="3"/>
  </w:num>
  <w:num w:numId="32">
    <w:abstractNumId w:val="35"/>
  </w:num>
  <w:num w:numId="33">
    <w:abstractNumId w:val="15"/>
  </w:num>
  <w:num w:numId="34">
    <w:abstractNumId w:val="28"/>
  </w:num>
  <w:num w:numId="35">
    <w:abstractNumId w:val="16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65">
    <w:name w:val="Heading 1 Char"/>
    <w:basedOn w:val="1135"/>
    <w:link w:val="1132"/>
    <w:uiPriority w:val="9"/>
    <w:rPr>
      <w:rFonts w:ascii="Arial" w:hAnsi="Arial" w:eastAsia="Arial" w:cs="Arial"/>
      <w:sz w:val="40"/>
      <w:szCs w:val="40"/>
    </w:rPr>
  </w:style>
  <w:style w:type="character" w:styleId="966">
    <w:name w:val="Heading 2 Char"/>
    <w:basedOn w:val="1135"/>
    <w:link w:val="1133"/>
    <w:uiPriority w:val="9"/>
    <w:rPr>
      <w:rFonts w:ascii="Arial" w:hAnsi="Arial" w:eastAsia="Arial" w:cs="Arial"/>
      <w:sz w:val="34"/>
    </w:rPr>
  </w:style>
  <w:style w:type="character" w:styleId="967">
    <w:name w:val="Heading 3 Char"/>
    <w:basedOn w:val="1135"/>
    <w:link w:val="1134"/>
    <w:uiPriority w:val="9"/>
    <w:rPr>
      <w:rFonts w:ascii="Arial" w:hAnsi="Arial" w:eastAsia="Arial" w:cs="Arial"/>
      <w:sz w:val="30"/>
      <w:szCs w:val="30"/>
    </w:rPr>
  </w:style>
  <w:style w:type="paragraph" w:styleId="968">
    <w:name w:val="Heading 4"/>
    <w:basedOn w:val="1131"/>
    <w:next w:val="1131"/>
    <w:link w:val="9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69">
    <w:name w:val="Heading 4 Char"/>
    <w:basedOn w:val="1135"/>
    <w:link w:val="968"/>
    <w:uiPriority w:val="9"/>
    <w:rPr>
      <w:rFonts w:ascii="Arial" w:hAnsi="Arial" w:eastAsia="Arial" w:cs="Arial"/>
      <w:b/>
      <w:bCs/>
      <w:sz w:val="26"/>
      <w:szCs w:val="26"/>
    </w:rPr>
  </w:style>
  <w:style w:type="paragraph" w:styleId="970">
    <w:name w:val="Heading 5"/>
    <w:basedOn w:val="1131"/>
    <w:next w:val="1131"/>
    <w:link w:val="9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1">
    <w:name w:val="Heading 5 Char"/>
    <w:basedOn w:val="1135"/>
    <w:link w:val="970"/>
    <w:uiPriority w:val="9"/>
    <w:rPr>
      <w:rFonts w:ascii="Arial" w:hAnsi="Arial" w:eastAsia="Arial" w:cs="Arial"/>
      <w:b/>
      <w:bCs/>
      <w:sz w:val="24"/>
      <w:szCs w:val="24"/>
    </w:rPr>
  </w:style>
  <w:style w:type="paragraph" w:styleId="972">
    <w:name w:val="Heading 6"/>
    <w:basedOn w:val="1131"/>
    <w:next w:val="1131"/>
    <w:link w:val="9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73">
    <w:name w:val="Heading 6 Char"/>
    <w:basedOn w:val="1135"/>
    <w:link w:val="972"/>
    <w:uiPriority w:val="9"/>
    <w:rPr>
      <w:rFonts w:ascii="Arial" w:hAnsi="Arial" w:eastAsia="Arial" w:cs="Arial"/>
      <w:b/>
      <w:bCs/>
      <w:sz w:val="22"/>
      <w:szCs w:val="22"/>
    </w:rPr>
  </w:style>
  <w:style w:type="paragraph" w:styleId="974">
    <w:name w:val="Heading 7"/>
    <w:basedOn w:val="1131"/>
    <w:next w:val="1131"/>
    <w:link w:val="9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5">
    <w:name w:val="Heading 7 Char"/>
    <w:basedOn w:val="1135"/>
    <w:link w:val="9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6">
    <w:name w:val="Heading 8"/>
    <w:basedOn w:val="1131"/>
    <w:next w:val="1131"/>
    <w:link w:val="9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7">
    <w:name w:val="Heading 8 Char"/>
    <w:basedOn w:val="1135"/>
    <w:link w:val="976"/>
    <w:uiPriority w:val="9"/>
    <w:rPr>
      <w:rFonts w:ascii="Arial" w:hAnsi="Arial" w:eastAsia="Arial" w:cs="Arial"/>
      <w:i/>
      <w:iCs/>
      <w:sz w:val="22"/>
      <w:szCs w:val="22"/>
    </w:rPr>
  </w:style>
  <w:style w:type="paragraph" w:styleId="978">
    <w:name w:val="Heading 9"/>
    <w:basedOn w:val="1131"/>
    <w:next w:val="1131"/>
    <w:link w:val="9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9">
    <w:name w:val="Heading 9 Char"/>
    <w:basedOn w:val="1135"/>
    <w:link w:val="978"/>
    <w:uiPriority w:val="9"/>
    <w:rPr>
      <w:rFonts w:ascii="Arial" w:hAnsi="Arial" w:eastAsia="Arial" w:cs="Arial"/>
      <w:i/>
      <w:iCs/>
      <w:sz w:val="21"/>
      <w:szCs w:val="21"/>
    </w:rPr>
  </w:style>
  <w:style w:type="character" w:styleId="980">
    <w:name w:val="Title Char"/>
    <w:basedOn w:val="1135"/>
    <w:link w:val="1394"/>
    <w:uiPriority w:val="10"/>
    <w:rPr>
      <w:sz w:val="48"/>
      <w:szCs w:val="48"/>
    </w:rPr>
  </w:style>
  <w:style w:type="paragraph" w:styleId="981">
    <w:name w:val="Subtitle"/>
    <w:basedOn w:val="1131"/>
    <w:next w:val="1131"/>
    <w:link w:val="982"/>
    <w:uiPriority w:val="11"/>
    <w:qFormat/>
    <w:pPr>
      <w:spacing w:before="200" w:after="200"/>
    </w:pPr>
    <w:rPr>
      <w:sz w:val="24"/>
      <w:szCs w:val="24"/>
    </w:rPr>
  </w:style>
  <w:style w:type="character" w:styleId="982">
    <w:name w:val="Subtitle Char"/>
    <w:basedOn w:val="1135"/>
    <w:link w:val="981"/>
    <w:uiPriority w:val="11"/>
    <w:rPr>
      <w:sz w:val="24"/>
      <w:szCs w:val="24"/>
    </w:rPr>
  </w:style>
  <w:style w:type="paragraph" w:styleId="983">
    <w:name w:val="Quote"/>
    <w:basedOn w:val="1131"/>
    <w:next w:val="1131"/>
    <w:link w:val="984"/>
    <w:uiPriority w:val="29"/>
    <w:qFormat/>
    <w:pPr>
      <w:ind w:left="720" w:right="720"/>
    </w:pPr>
    <w:rPr>
      <w:i/>
    </w:rPr>
  </w:style>
  <w:style w:type="character" w:styleId="984">
    <w:name w:val="Quote Char"/>
    <w:link w:val="983"/>
    <w:uiPriority w:val="29"/>
    <w:rPr>
      <w:i/>
    </w:rPr>
  </w:style>
  <w:style w:type="paragraph" w:styleId="985">
    <w:name w:val="Intense Quote"/>
    <w:basedOn w:val="1131"/>
    <w:next w:val="1131"/>
    <w:link w:val="9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6">
    <w:name w:val="Intense Quote Char"/>
    <w:link w:val="985"/>
    <w:uiPriority w:val="30"/>
    <w:rPr>
      <w:i/>
    </w:rPr>
  </w:style>
  <w:style w:type="character" w:styleId="987">
    <w:name w:val="Header Char"/>
    <w:basedOn w:val="1135"/>
    <w:link w:val="1151"/>
    <w:uiPriority w:val="99"/>
  </w:style>
  <w:style w:type="character" w:styleId="988">
    <w:name w:val="Footer Char"/>
    <w:basedOn w:val="1135"/>
    <w:link w:val="1148"/>
    <w:uiPriority w:val="99"/>
  </w:style>
  <w:style w:type="paragraph" w:styleId="989">
    <w:name w:val="Caption"/>
    <w:basedOn w:val="1131"/>
    <w:next w:val="11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0">
    <w:name w:val="Caption Char"/>
    <w:basedOn w:val="989"/>
    <w:link w:val="1148"/>
    <w:uiPriority w:val="99"/>
  </w:style>
  <w:style w:type="table" w:styleId="991">
    <w:name w:val="Table Grid Light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>
    <w:name w:val="Plain Table 1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3">
    <w:name w:val="Plain Table 2"/>
    <w:basedOn w:val="11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4">
    <w:name w:val="Plain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5">
    <w:name w:val="Plain Table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Plain Table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7">
    <w:name w:val="Grid Table 1 Light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Grid Table 1 Light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1 Light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2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2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4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9">
    <w:name w:val="Grid Table 4 - Accent 1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0">
    <w:name w:val="Grid Table 4 - Accent 2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1">
    <w:name w:val="Grid Table 4 - Accent 3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2">
    <w:name w:val="Grid Table 4 - Accent 4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3">
    <w:name w:val="Grid Table 4 - Accent 5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4">
    <w:name w:val="Grid Table 4 - Accent 6"/>
    <w:basedOn w:val="11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5">
    <w:name w:val="Grid Table 5 Dark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6">
    <w:name w:val="Grid Table 5 Dark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27">
    <w:name w:val="Grid Table 5 Dark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28">
    <w:name w:val="Grid Table 5 Dark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29">
    <w:name w:val="Grid Table 5 Dark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30">
    <w:name w:val="Grid Table 5 Dark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32">
    <w:name w:val="Grid Table 6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3">
    <w:name w:val="Grid Table 6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4">
    <w:name w:val="Grid Table 6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5">
    <w:name w:val="Grid Table 6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6">
    <w:name w:val="Grid Table 6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7">
    <w:name w:val="Grid Table 6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8">
    <w:name w:val="Grid Table 6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9">
    <w:name w:val="Grid Table 7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7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7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4">
    <w:name w:val="List Table 2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5">
    <w:name w:val="List Table 2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6">
    <w:name w:val="List Table 2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7">
    <w:name w:val="List Table 2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8">
    <w:name w:val="List Table 2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9">
    <w:name w:val="List Table 2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0">
    <w:name w:val="List Table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3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3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5 Dark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5">
    <w:name w:val="List Table 5 Dark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5 Dark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6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2">
    <w:name w:val="List Table 6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3">
    <w:name w:val="List Table 6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4">
    <w:name w:val="List Table 6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5">
    <w:name w:val="List Table 6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6">
    <w:name w:val="List Table 6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7">
    <w:name w:val="List Table 6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8">
    <w:name w:val="List Table 7 Colorful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9">
    <w:name w:val="List Table 7 Colorful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90">
    <w:name w:val="List Table 7 Colorful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91">
    <w:name w:val="List Table 7 Colorful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92">
    <w:name w:val="List Table 7 Colorful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93">
    <w:name w:val="List Table 7 Colorful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94">
    <w:name w:val="List Table 7 Colorful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95">
    <w:name w:val="Lined - Accent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6">
    <w:name w:val="Lined - Accent 1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97">
    <w:name w:val="Lined - Accent 2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98">
    <w:name w:val="Lined - Accent 3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99">
    <w:name w:val="Lined - Accent 4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0">
    <w:name w:val="Lined - Accent 5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1">
    <w:name w:val="Lined - Accent 6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2">
    <w:name w:val="Bordered &amp; Lined - Accent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3">
    <w:name w:val="Bordered &amp; Lined - Accent 1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04">
    <w:name w:val="Bordered &amp; Lined - Accent 2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05">
    <w:name w:val="Bordered &amp; Lined - Accent 3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06">
    <w:name w:val="Bordered &amp; Lined - Accent 4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7">
    <w:name w:val="Bordered &amp; Lined - Accent 5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8">
    <w:name w:val="Bordered &amp; Lined - Accent 6"/>
    <w:basedOn w:val="11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9">
    <w:name w:val="Bordered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0">
    <w:name w:val="Bordered - Accent 1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1">
    <w:name w:val="Bordered - Accent 2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2">
    <w:name w:val="Bordered - Accent 3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3">
    <w:name w:val="Bordered - Accent 4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4">
    <w:name w:val="Bordered - Accent 5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5">
    <w:name w:val="Bordered - Accent 6"/>
    <w:basedOn w:val="11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6">
    <w:name w:val="Footnote Text Char"/>
    <w:link w:val="1386"/>
    <w:uiPriority w:val="99"/>
    <w:rPr>
      <w:sz w:val="18"/>
    </w:rPr>
  </w:style>
  <w:style w:type="paragraph" w:styleId="1117">
    <w:name w:val="endnote text"/>
    <w:basedOn w:val="1131"/>
    <w:link w:val="1118"/>
    <w:uiPriority w:val="99"/>
    <w:semiHidden/>
    <w:unhideWhenUsed/>
    <w:pPr>
      <w:spacing w:after="0" w:line="240" w:lineRule="auto"/>
    </w:pPr>
    <w:rPr>
      <w:sz w:val="20"/>
    </w:rPr>
  </w:style>
  <w:style w:type="character" w:styleId="1118">
    <w:name w:val="Endnote Text Char"/>
    <w:link w:val="1117"/>
    <w:uiPriority w:val="99"/>
    <w:rPr>
      <w:sz w:val="20"/>
    </w:rPr>
  </w:style>
  <w:style w:type="character" w:styleId="1119">
    <w:name w:val="endnote reference"/>
    <w:basedOn w:val="1135"/>
    <w:uiPriority w:val="99"/>
    <w:semiHidden/>
    <w:unhideWhenUsed/>
    <w:rPr>
      <w:vertAlign w:val="superscript"/>
    </w:rPr>
  </w:style>
  <w:style w:type="paragraph" w:styleId="1120">
    <w:name w:val="toc 1"/>
    <w:basedOn w:val="1131"/>
    <w:next w:val="1131"/>
    <w:uiPriority w:val="39"/>
    <w:unhideWhenUsed/>
    <w:pPr>
      <w:ind w:left="0" w:right="0" w:firstLine="0"/>
      <w:spacing w:after="57"/>
    </w:pPr>
  </w:style>
  <w:style w:type="paragraph" w:styleId="1121">
    <w:name w:val="toc 2"/>
    <w:basedOn w:val="1131"/>
    <w:next w:val="1131"/>
    <w:uiPriority w:val="39"/>
    <w:unhideWhenUsed/>
    <w:pPr>
      <w:ind w:left="283" w:right="0" w:firstLine="0"/>
      <w:spacing w:after="57"/>
    </w:pPr>
  </w:style>
  <w:style w:type="paragraph" w:styleId="1122">
    <w:name w:val="toc 3"/>
    <w:basedOn w:val="1131"/>
    <w:next w:val="1131"/>
    <w:uiPriority w:val="39"/>
    <w:unhideWhenUsed/>
    <w:pPr>
      <w:ind w:left="567" w:right="0" w:firstLine="0"/>
      <w:spacing w:after="57"/>
    </w:pPr>
  </w:style>
  <w:style w:type="paragraph" w:styleId="1123">
    <w:name w:val="toc 4"/>
    <w:basedOn w:val="1131"/>
    <w:next w:val="1131"/>
    <w:uiPriority w:val="39"/>
    <w:unhideWhenUsed/>
    <w:pPr>
      <w:ind w:left="850" w:right="0" w:firstLine="0"/>
      <w:spacing w:after="57"/>
    </w:pPr>
  </w:style>
  <w:style w:type="paragraph" w:styleId="1124">
    <w:name w:val="toc 5"/>
    <w:basedOn w:val="1131"/>
    <w:next w:val="1131"/>
    <w:uiPriority w:val="39"/>
    <w:unhideWhenUsed/>
    <w:pPr>
      <w:ind w:left="1134" w:right="0" w:firstLine="0"/>
      <w:spacing w:after="57"/>
    </w:pPr>
  </w:style>
  <w:style w:type="paragraph" w:styleId="1125">
    <w:name w:val="toc 6"/>
    <w:basedOn w:val="1131"/>
    <w:next w:val="1131"/>
    <w:uiPriority w:val="39"/>
    <w:unhideWhenUsed/>
    <w:pPr>
      <w:ind w:left="1417" w:right="0" w:firstLine="0"/>
      <w:spacing w:after="57"/>
    </w:pPr>
  </w:style>
  <w:style w:type="paragraph" w:styleId="1126">
    <w:name w:val="toc 7"/>
    <w:basedOn w:val="1131"/>
    <w:next w:val="1131"/>
    <w:uiPriority w:val="39"/>
    <w:unhideWhenUsed/>
    <w:pPr>
      <w:ind w:left="1701" w:right="0" w:firstLine="0"/>
      <w:spacing w:after="57"/>
    </w:pPr>
  </w:style>
  <w:style w:type="paragraph" w:styleId="1127">
    <w:name w:val="toc 8"/>
    <w:basedOn w:val="1131"/>
    <w:next w:val="1131"/>
    <w:uiPriority w:val="39"/>
    <w:unhideWhenUsed/>
    <w:pPr>
      <w:ind w:left="1984" w:right="0" w:firstLine="0"/>
      <w:spacing w:after="57"/>
    </w:pPr>
  </w:style>
  <w:style w:type="paragraph" w:styleId="1128">
    <w:name w:val="toc 9"/>
    <w:basedOn w:val="1131"/>
    <w:next w:val="1131"/>
    <w:uiPriority w:val="39"/>
    <w:unhideWhenUsed/>
    <w:pPr>
      <w:ind w:left="2268" w:right="0" w:firstLine="0"/>
      <w:spacing w:after="57"/>
    </w:pPr>
  </w:style>
  <w:style w:type="paragraph" w:styleId="1129">
    <w:name w:val="TOC Heading"/>
    <w:uiPriority w:val="39"/>
    <w:unhideWhenUsed/>
  </w:style>
  <w:style w:type="paragraph" w:styleId="1130">
    <w:name w:val="table of figures"/>
    <w:basedOn w:val="1131"/>
    <w:next w:val="1131"/>
    <w:uiPriority w:val="99"/>
    <w:unhideWhenUsed/>
    <w:pPr>
      <w:spacing w:after="0" w:afterAutospacing="0"/>
    </w:pPr>
  </w:style>
  <w:style w:type="paragraph" w:styleId="1131" w:default="1">
    <w:name w:val="Normal"/>
    <w:qFormat/>
    <w:rPr>
      <w:sz w:val="24"/>
      <w:szCs w:val="24"/>
    </w:rPr>
  </w:style>
  <w:style w:type="paragraph" w:styleId="1132">
    <w:name w:val="Heading 1"/>
    <w:basedOn w:val="1131"/>
    <w:next w:val="1131"/>
    <w:link w:val="140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1133">
    <w:name w:val="Heading 2"/>
    <w:basedOn w:val="1131"/>
    <w:next w:val="1131"/>
    <w:link w:val="1150"/>
    <w:uiPriority w:val="9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1134">
    <w:name w:val="Heading 3"/>
    <w:basedOn w:val="1131"/>
    <w:next w:val="1131"/>
    <w:link w:val="1401"/>
    <w:uiPriority w:val="9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1135" w:default="1">
    <w:name w:val="Default Paragraph Font"/>
    <w:uiPriority w:val="1"/>
    <w:semiHidden/>
    <w:unhideWhenUsed/>
  </w:style>
  <w:style w:type="table" w:styleId="11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7" w:default="1">
    <w:name w:val="No List"/>
    <w:uiPriority w:val="99"/>
    <w:semiHidden/>
    <w:unhideWhenUsed/>
  </w:style>
  <w:style w:type="paragraph" w:styleId="1138" w:customStyle="1">
    <w:name w:val="Стиль1"/>
    <w:basedOn w:val="1131"/>
    <w:pPr>
      <w:jc w:val="both"/>
      <w:spacing w:line="312" w:lineRule="auto"/>
    </w:pPr>
    <w:rPr>
      <w:rFonts w:ascii="Courier New" w:hAnsi="Courier New"/>
      <w:sz w:val="22"/>
    </w:rPr>
  </w:style>
  <w:style w:type="paragraph" w:styleId="1139" w:customStyle="1">
    <w:name w:val="Стиль2"/>
    <w:basedOn w:val="1131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1140">
    <w:name w:val="Body Text Indent"/>
    <w:basedOn w:val="1131"/>
    <w:pPr>
      <w:ind w:left="567"/>
      <w:jc w:val="both"/>
    </w:pPr>
    <w:rPr>
      <w:b/>
      <w:sz w:val="28"/>
      <w:szCs w:val="20"/>
    </w:rPr>
  </w:style>
  <w:style w:type="paragraph" w:styleId="1141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1142">
    <w:name w:val="Table Grid"/>
    <w:basedOn w:val="1136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43">
    <w:name w:val="Body Text"/>
    <w:basedOn w:val="1131"/>
    <w:link w:val="1204"/>
    <w:pPr>
      <w:spacing w:after="120"/>
    </w:pPr>
  </w:style>
  <w:style w:type="paragraph" w:styleId="1144" w:customStyle="1">
    <w:name w:val="ConsNonformat"/>
    <w:pPr>
      <w:widowControl w:val="off"/>
    </w:pPr>
    <w:rPr>
      <w:rFonts w:ascii="Courier New" w:hAnsi="Courier New" w:cs="Courier New"/>
    </w:rPr>
  </w:style>
  <w:style w:type="paragraph" w:styleId="1145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1146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147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1148">
    <w:name w:val="Footer"/>
    <w:basedOn w:val="1131"/>
    <w:link w:val="1379"/>
    <w:uiPriority w:val="99"/>
    <w:pPr>
      <w:tabs>
        <w:tab w:val="center" w:pos="4677" w:leader="none"/>
        <w:tab w:val="right" w:pos="9355" w:leader="none"/>
      </w:tabs>
    </w:pPr>
  </w:style>
  <w:style w:type="character" w:styleId="1149">
    <w:name w:val="page number"/>
    <w:basedOn w:val="1135"/>
  </w:style>
  <w:style w:type="character" w:styleId="1150" w:customStyle="1">
    <w:name w:val="Заголовок 2 Знак"/>
    <w:basedOn w:val="1135"/>
    <w:link w:val="1133"/>
    <w:uiPriority w:val="9"/>
    <w:rPr>
      <w:rFonts w:ascii="Arial" w:hAnsi="Arial" w:eastAsia="Arial Unicode MS" w:cs="Arial"/>
      <w:b/>
      <w:bCs/>
      <w:sz w:val="32"/>
      <w:szCs w:val="32"/>
    </w:rPr>
  </w:style>
  <w:style w:type="paragraph" w:styleId="1151">
    <w:name w:val="Header"/>
    <w:basedOn w:val="1131"/>
    <w:link w:val="1378"/>
    <w:pPr>
      <w:tabs>
        <w:tab w:val="center" w:pos="4677" w:leader="none"/>
        <w:tab w:val="right" w:pos="9355" w:leader="none"/>
      </w:tabs>
    </w:pPr>
  </w:style>
  <w:style w:type="paragraph" w:styleId="1152">
    <w:name w:val="Balloon Text"/>
    <w:basedOn w:val="1131"/>
    <w:link w:val="1153"/>
    <w:rPr>
      <w:rFonts w:ascii="Tahoma" w:hAnsi="Tahoma" w:cs="Tahoma"/>
      <w:sz w:val="16"/>
      <w:szCs w:val="16"/>
    </w:rPr>
  </w:style>
  <w:style w:type="character" w:styleId="1153" w:customStyle="1">
    <w:name w:val="Текст выноски Знак"/>
    <w:basedOn w:val="1135"/>
    <w:link w:val="1152"/>
    <w:rPr>
      <w:rFonts w:ascii="Tahoma" w:hAnsi="Tahoma" w:cs="Tahoma"/>
      <w:sz w:val="16"/>
      <w:szCs w:val="16"/>
    </w:rPr>
  </w:style>
  <w:style w:type="paragraph" w:styleId="1154">
    <w:name w:val="List Paragraph"/>
    <w:basedOn w:val="1131"/>
    <w:link w:val="1391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55">
    <w:name w:val="Normal (Web)"/>
    <w:basedOn w:val="1131"/>
    <w:pPr>
      <w:spacing w:before="100" w:beforeAutospacing="1" w:after="100" w:afterAutospacing="1"/>
    </w:pPr>
  </w:style>
  <w:style w:type="character" w:styleId="1156">
    <w:name w:val="Strong"/>
    <w:qFormat/>
    <w:rPr>
      <w:b/>
      <w:bCs/>
    </w:rPr>
  </w:style>
  <w:style w:type="paragraph" w:styleId="1157">
    <w:name w:val="Plain Text"/>
    <w:basedOn w:val="1131"/>
    <w:link w:val="1158"/>
    <w:rPr>
      <w:rFonts w:ascii="Courier New" w:hAnsi="Courier New" w:cs="Courier New"/>
      <w:sz w:val="20"/>
      <w:szCs w:val="20"/>
    </w:rPr>
  </w:style>
  <w:style w:type="character" w:styleId="1158" w:customStyle="1">
    <w:name w:val="Текст Знак"/>
    <w:basedOn w:val="1135"/>
    <w:link w:val="1157"/>
    <w:rPr>
      <w:rFonts w:ascii="Courier New" w:hAnsi="Courier New" w:cs="Courier New"/>
    </w:rPr>
  </w:style>
  <w:style w:type="paragraph" w:styleId="1159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1160" w:customStyle="1">
    <w:name w:val="ConsPlusCell"/>
    <w:uiPriority w:val="99"/>
    <w:pPr>
      <w:widowControl w:val="off"/>
    </w:pPr>
    <w:rPr>
      <w:sz w:val="24"/>
      <w:szCs w:val="24"/>
    </w:rPr>
  </w:style>
  <w:style w:type="character" w:styleId="1161">
    <w:name w:val="Hyperlink"/>
    <w:basedOn w:val="1135"/>
    <w:rPr>
      <w:rFonts w:cs="Times New Roman"/>
      <w:color w:val="0000ff"/>
      <w:u w:val="single"/>
    </w:rPr>
  </w:style>
  <w:style w:type="paragraph" w:styleId="1162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1163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1164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1165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1166" w:customStyle="1">
    <w:name w:val="Основной текст (2)_"/>
    <w:link w:val="1167"/>
    <w:rPr>
      <w:sz w:val="26"/>
      <w:szCs w:val="26"/>
      <w:shd w:val="clear" w:color="auto" w:fill="ffffff"/>
    </w:rPr>
  </w:style>
  <w:style w:type="paragraph" w:styleId="1167" w:customStyle="1">
    <w:name w:val="Основной текст (2)"/>
    <w:basedOn w:val="1131"/>
    <w:link w:val="1166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1168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1169" w:customStyle="1">
    <w:name w:val="Table Paragraph"/>
    <w:basedOn w:val="1131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1170">
    <w:name w:val="Emphasis"/>
    <w:basedOn w:val="1135"/>
    <w:qFormat/>
    <w:rPr>
      <w:i/>
      <w:iCs/>
    </w:rPr>
  </w:style>
  <w:style w:type="character" w:styleId="1171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1172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1173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1174">
    <w:name w:val="FollowedHyperlink"/>
    <w:uiPriority w:val="99"/>
    <w:unhideWhenUsed/>
    <w:rPr>
      <w:color w:val="800080"/>
      <w:u w:val="single"/>
    </w:rPr>
  </w:style>
  <w:style w:type="paragraph" w:styleId="1175" w:customStyle="1">
    <w:name w:val="xl66"/>
    <w:basedOn w:val="1131"/>
    <w:pPr>
      <w:spacing w:before="100" w:beforeAutospacing="1" w:after="100" w:afterAutospacing="1"/>
    </w:pPr>
  </w:style>
  <w:style w:type="paragraph" w:styleId="1176" w:customStyle="1">
    <w:name w:val="xl67"/>
    <w:basedOn w:val="1131"/>
    <w:pPr>
      <w:jc w:val="center"/>
      <w:spacing w:before="100" w:beforeAutospacing="1" w:after="100" w:afterAutospacing="1"/>
    </w:pPr>
  </w:style>
  <w:style w:type="paragraph" w:styleId="1177" w:customStyle="1">
    <w:name w:val="xl68"/>
    <w:basedOn w:val="1131"/>
    <w:pPr>
      <w:spacing w:before="100" w:beforeAutospacing="1" w:after="100" w:afterAutospacing="1"/>
    </w:pPr>
    <w:rPr>
      <w:b/>
      <w:bCs/>
    </w:rPr>
  </w:style>
  <w:style w:type="paragraph" w:styleId="1178" w:customStyle="1">
    <w:name w:val="xl69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79" w:customStyle="1">
    <w:name w:val="xl70"/>
    <w:basedOn w:val="1131"/>
    <w:pPr>
      <w:spacing w:before="100" w:beforeAutospacing="1" w:after="100" w:afterAutospacing="1"/>
    </w:pPr>
  </w:style>
  <w:style w:type="paragraph" w:styleId="1180" w:customStyle="1">
    <w:name w:val="xl71"/>
    <w:basedOn w:val="11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1" w:customStyle="1">
    <w:name w:val="xl72"/>
    <w:basedOn w:val="11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2" w:customStyle="1">
    <w:name w:val="xl73"/>
    <w:basedOn w:val="113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3" w:customStyle="1">
    <w:name w:val="xl74"/>
    <w:basedOn w:val="11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4" w:customStyle="1">
    <w:name w:val="xl75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5" w:customStyle="1">
    <w:name w:val="xl76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6" w:customStyle="1">
    <w:name w:val="xl77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7" w:customStyle="1">
    <w:name w:val="xl78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188" w:customStyle="1">
    <w:name w:val="xl79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89" w:customStyle="1">
    <w:name w:val="xl80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190" w:customStyle="1">
    <w:name w:val="xl81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1" w:customStyle="1">
    <w:name w:val="xl82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2" w:customStyle="1">
    <w:name w:val="xl83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1193" w:customStyle="1">
    <w:name w:val="xl84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4" w:customStyle="1">
    <w:name w:val="xl85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5" w:customStyle="1">
    <w:name w:val="xl86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6" w:customStyle="1">
    <w:name w:val="xl87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7" w:customStyle="1">
    <w:name w:val="xl88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8" w:customStyle="1">
    <w:name w:val="xl89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9" w:customStyle="1">
    <w:name w:val="xl90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00" w:customStyle="1">
    <w:name w:val="xl64"/>
    <w:basedOn w:val="113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01" w:customStyle="1">
    <w:name w:val="xl65"/>
    <w:basedOn w:val="1131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1202" w:customStyle="1">
    <w:name w:val="xl63"/>
    <w:basedOn w:val="113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203" w:customStyle="1">
    <w:name w:val="msonormal"/>
    <w:basedOn w:val="1131"/>
    <w:pPr>
      <w:spacing w:before="100" w:beforeAutospacing="1" w:after="100" w:afterAutospacing="1"/>
    </w:pPr>
  </w:style>
  <w:style w:type="character" w:styleId="1204" w:customStyle="1">
    <w:name w:val="Основной текст Знак1"/>
    <w:link w:val="1143"/>
    <w:rPr>
      <w:sz w:val="24"/>
      <w:szCs w:val="24"/>
    </w:rPr>
  </w:style>
  <w:style w:type="paragraph" w:styleId="1205" w:customStyle="1">
    <w:name w:val="Times12"/>
    <w:basedOn w:val="1131"/>
    <w:pPr>
      <w:ind w:firstLine="709"/>
      <w:jc w:val="both"/>
    </w:pPr>
  </w:style>
  <w:style w:type="paragraph" w:styleId="1206" w:customStyle="1">
    <w:name w:val="Знак1 Знак Знак"/>
    <w:basedOn w:val="11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1207" w:customStyle="1">
    <w:name w:val="Основной текст Знак"/>
    <w:rPr>
      <w:sz w:val="28"/>
      <w:szCs w:val="28"/>
      <w:lang w:val="ru-RU" w:eastAsia="ru-RU" w:bidi="ar-SA"/>
    </w:rPr>
  </w:style>
  <w:style w:type="paragraph" w:styleId="1208" w:customStyle="1">
    <w:name w:val="font5"/>
    <w:basedOn w:val="1131"/>
    <w:pPr>
      <w:spacing w:before="100" w:beforeAutospacing="1" w:after="100" w:afterAutospacing="1"/>
    </w:pPr>
    <w:rPr>
      <w:b/>
      <w:bCs/>
      <w:color w:val="000000"/>
    </w:rPr>
  </w:style>
  <w:style w:type="paragraph" w:styleId="1209" w:customStyle="1">
    <w:name w:val="font6"/>
    <w:basedOn w:val="1131"/>
    <w:pPr>
      <w:spacing w:before="100" w:beforeAutospacing="1" w:after="100" w:afterAutospacing="1"/>
    </w:pPr>
    <w:rPr>
      <w:color w:val="000000"/>
    </w:rPr>
  </w:style>
  <w:style w:type="paragraph" w:styleId="1210" w:customStyle="1">
    <w:name w:val="font7"/>
    <w:basedOn w:val="1131"/>
    <w:pPr>
      <w:spacing w:before="100" w:beforeAutospacing="1" w:after="100" w:afterAutospacing="1"/>
    </w:pPr>
    <w:rPr>
      <w:color w:val="000000"/>
    </w:rPr>
  </w:style>
  <w:style w:type="paragraph" w:styleId="1211" w:customStyle="1">
    <w:name w:val="xl91"/>
    <w:basedOn w:val="1131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212" w:customStyle="1">
    <w:name w:val="xl92"/>
    <w:basedOn w:val="1131"/>
    <w:pPr>
      <w:spacing w:before="100" w:beforeAutospacing="1" w:after="100" w:afterAutospacing="1"/>
      <w:shd w:val="clear" w:color="000000" w:fill="ff0000"/>
    </w:pPr>
  </w:style>
  <w:style w:type="paragraph" w:styleId="1213" w:customStyle="1">
    <w:name w:val="xl93"/>
    <w:basedOn w:val="1131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14" w:customStyle="1">
    <w:name w:val="xl94"/>
    <w:basedOn w:val="1131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15" w:customStyle="1">
    <w:name w:val="xl95"/>
    <w:basedOn w:val="1131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16" w:customStyle="1">
    <w:name w:val="xl96"/>
    <w:basedOn w:val="1131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17" w:customStyle="1">
    <w:name w:val="xl97"/>
    <w:basedOn w:val="1131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18" w:customStyle="1">
    <w:name w:val="xl98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19" w:customStyle="1">
    <w:name w:val="xl99"/>
    <w:basedOn w:val="1131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20" w:customStyle="1">
    <w:name w:val="xl100"/>
    <w:basedOn w:val="1131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21" w:customStyle="1">
    <w:name w:val="xl101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22" w:customStyle="1">
    <w:name w:val="xl102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223" w:customStyle="1">
    <w:name w:val="xl103"/>
    <w:basedOn w:val="1131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24" w:customStyle="1">
    <w:name w:val="xl104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25" w:customStyle="1">
    <w:name w:val="xl105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226" w:customStyle="1">
    <w:name w:val="xl106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227" w:customStyle="1">
    <w:name w:val="xl107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228" w:customStyle="1">
    <w:name w:val="xl108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229" w:customStyle="1">
    <w:name w:val="xl109"/>
    <w:basedOn w:val="1131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1230" w:customStyle="1">
    <w:name w:val="xl110"/>
    <w:basedOn w:val="1131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231" w:customStyle="1">
    <w:name w:val="xl111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32" w:customStyle="1">
    <w:name w:val="xl112"/>
    <w:basedOn w:val="1131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33" w:customStyle="1">
    <w:name w:val="xl113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34" w:customStyle="1">
    <w:name w:val="xl114"/>
    <w:basedOn w:val="1131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1235" w:customStyle="1">
    <w:name w:val="xl115"/>
    <w:basedOn w:val="1131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36" w:customStyle="1">
    <w:name w:val="xl116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1237" w:customStyle="1">
    <w:name w:val="xl117"/>
    <w:basedOn w:val="1131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38" w:customStyle="1">
    <w:name w:val="xl118"/>
    <w:basedOn w:val="1131"/>
    <w:pPr>
      <w:spacing w:before="100" w:beforeAutospacing="1" w:after="100" w:afterAutospacing="1"/>
    </w:pPr>
  </w:style>
  <w:style w:type="paragraph" w:styleId="1239" w:customStyle="1">
    <w:name w:val="xl119"/>
    <w:basedOn w:val="1131"/>
    <w:pPr>
      <w:spacing w:before="100" w:beforeAutospacing="1" w:after="100" w:afterAutospacing="1"/>
      <w:shd w:val="clear" w:color="000000" w:fill="fde9d9"/>
    </w:pPr>
  </w:style>
  <w:style w:type="paragraph" w:styleId="1240" w:customStyle="1">
    <w:name w:val="xl120"/>
    <w:basedOn w:val="1131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41" w:customStyle="1">
    <w:name w:val="xl121"/>
    <w:basedOn w:val="1131"/>
    <w:pPr>
      <w:spacing w:before="100" w:beforeAutospacing="1" w:after="100" w:afterAutospacing="1"/>
    </w:pPr>
  </w:style>
  <w:style w:type="paragraph" w:styleId="1242" w:customStyle="1">
    <w:name w:val="xl122"/>
    <w:basedOn w:val="113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43" w:customStyle="1">
    <w:name w:val="xl123"/>
    <w:basedOn w:val="1131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44" w:customStyle="1">
    <w:name w:val="xl124"/>
    <w:basedOn w:val="1131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45" w:customStyle="1">
    <w:name w:val="xl125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46" w:customStyle="1">
    <w:name w:val="xl126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47" w:customStyle="1">
    <w:name w:val="xl127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48" w:customStyle="1">
    <w:name w:val="xl128"/>
    <w:basedOn w:val="1131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49" w:customStyle="1">
    <w:name w:val="xl129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50" w:customStyle="1">
    <w:name w:val="xl130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51" w:customStyle="1">
    <w:name w:val="xl131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52" w:customStyle="1">
    <w:name w:val="xl132"/>
    <w:basedOn w:val="1131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53" w:customStyle="1">
    <w:name w:val="xl133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54" w:customStyle="1">
    <w:name w:val="xl134"/>
    <w:basedOn w:val="1131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55" w:customStyle="1">
    <w:name w:val="xl135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56" w:customStyle="1">
    <w:name w:val="xl136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57" w:customStyle="1">
    <w:name w:val="xl137"/>
    <w:basedOn w:val="1131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58" w:customStyle="1">
    <w:name w:val="xl138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59" w:customStyle="1">
    <w:name w:val="xl139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60" w:customStyle="1">
    <w:name w:val="xl140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61" w:customStyle="1">
    <w:name w:val="xl141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62" w:customStyle="1">
    <w:name w:val="xl142"/>
    <w:basedOn w:val="1131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63" w:customStyle="1">
    <w:name w:val="xl143"/>
    <w:basedOn w:val="1131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264" w:customStyle="1">
    <w:name w:val="xl144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265" w:customStyle="1">
    <w:name w:val="xl145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266" w:customStyle="1">
    <w:name w:val="xl146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267" w:customStyle="1">
    <w:name w:val="xl147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268" w:customStyle="1">
    <w:name w:val="xl148"/>
    <w:basedOn w:val="1131"/>
    <w:pPr>
      <w:spacing w:before="100" w:beforeAutospacing="1" w:after="100" w:afterAutospacing="1"/>
    </w:pPr>
    <w:rPr>
      <w:color w:val="ff0000"/>
    </w:rPr>
  </w:style>
  <w:style w:type="paragraph" w:styleId="1269" w:customStyle="1">
    <w:name w:val="xl149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70" w:customStyle="1">
    <w:name w:val="xl150"/>
    <w:basedOn w:val="1131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271" w:customStyle="1">
    <w:name w:val="xl151"/>
    <w:basedOn w:val="1131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272" w:customStyle="1">
    <w:name w:val="xl152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73" w:customStyle="1">
    <w:name w:val="xl153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74" w:customStyle="1">
    <w:name w:val="xl154"/>
    <w:basedOn w:val="1131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75" w:customStyle="1">
    <w:name w:val="xl155"/>
    <w:basedOn w:val="1131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76" w:customStyle="1">
    <w:name w:val="xl156"/>
    <w:basedOn w:val="1131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277" w:customStyle="1">
    <w:name w:val="xl157"/>
    <w:basedOn w:val="1131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78" w:customStyle="1">
    <w:name w:val="xl158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79" w:customStyle="1">
    <w:name w:val="xl159"/>
    <w:basedOn w:val="1131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80" w:customStyle="1">
    <w:name w:val="xl160"/>
    <w:basedOn w:val="1131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281" w:customStyle="1">
    <w:name w:val="xl161"/>
    <w:basedOn w:val="1131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82" w:customStyle="1">
    <w:name w:val="xl162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283" w:customStyle="1">
    <w:name w:val="xl163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284" w:customStyle="1">
    <w:name w:val="xl164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285" w:customStyle="1">
    <w:name w:val="xl165"/>
    <w:basedOn w:val="1131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286" w:customStyle="1">
    <w:name w:val="xl166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87" w:customStyle="1">
    <w:name w:val="xl167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288" w:customStyle="1">
    <w:name w:val="xl168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89" w:customStyle="1">
    <w:name w:val="xl169"/>
    <w:basedOn w:val="1131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290" w:customStyle="1">
    <w:name w:val="xl170"/>
    <w:basedOn w:val="1131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91" w:customStyle="1">
    <w:name w:val="xl171"/>
    <w:basedOn w:val="1131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292" w:customStyle="1">
    <w:name w:val="xl172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293" w:customStyle="1">
    <w:name w:val="xl173"/>
    <w:basedOn w:val="113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94" w:customStyle="1">
    <w:name w:val="xl174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295" w:customStyle="1">
    <w:name w:val="xl175"/>
    <w:basedOn w:val="113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96" w:customStyle="1">
    <w:name w:val="xl176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297" w:customStyle="1">
    <w:name w:val="xl177"/>
    <w:basedOn w:val="1131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298" w:customStyle="1">
    <w:name w:val="xl178"/>
    <w:basedOn w:val="1131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299" w:customStyle="1">
    <w:name w:val="xl179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00" w:customStyle="1">
    <w:name w:val="xl180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01" w:customStyle="1">
    <w:name w:val="xl181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302" w:customStyle="1">
    <w:name w:val="xl182"/>
    <w:basedOn w:val="113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03" w:customStyle="1">
    <w:name w:val="xl183"/>
    <w:basedOn w:val="113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04" w:customStyle="1">
    <w:name w:val="xl184"/>
    <w:basedOn w:val="1131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05" w:customStyle="1">
    <w:name w:val="xl185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06" w:customStyle="1">
    <w:name w:val="xl186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07" w:customStyle="1">
    <w:name w:val="xl187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08" w:customStyle="1">
    <w:name w:val="xl188"/>
    <w:basedOn w:val="1131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09" w:customStyle="1">
    <w:name w:val="xl189"/>
    <w:basedOn w:val="1131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10" w:customStyle="1">
    <w:name w:val="xl190"/>
    <w:basedOn w:val="1131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11" w:customStyle="1">
    <w:name w:val="xl191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12" w:customStyle="1">
    <w:name w:val="xl192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13" w:customStyle="1">
    <w:name w:val="xl193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14" w:customStyle="1">
    <w:name w:val="xl194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15" w:customStyle="1">
    <w:name w:val="xl195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16" w:customStyle="1">
    <w:name w:val="xl196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17" w:customStyle="1">
    <w:name w:val="xl197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18" w:customStyle="1">
    <w:name w:val="xl198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19" w:customStyle="1">
    <w:name w:val="xl199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320" w:customStyle="1">
    <w:name w:val="xl200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21" w:customStyle="1">
    <w:name w:val="xl201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22" w:customStyle="1">
    <w:name w:val="xl202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323" w:customStyle="1">
    <w:name w:val="xl203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24" w:customStyle="1">
    <w:name w:val="xl204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25" w:customStyle="1">
    <w:name w:val="xl205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26" w:customStyle="1">
    <w:name w:val="xl206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327" w:customStyle="1">
    <w:name w:val="xl207"/>
    <w:basedOn w:val="1131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328" w:customStyle="1">
    <w:name w:val="xl208"/>
    <w:basedOn w:val="1131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29" w:customStyle="1">
    <w:name w:val="xl209"/>
    <w:basedOn w:val="1131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30" w:customStyle="1">
    <w:name w:val="xl210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31" w:customStyle="1">
    <w:name w:val="xl211"/>
    <w:basedOn w:val="1131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332" w:customStyle="1">
    <w:name w:val="xl212"/>
    <w:basedOn w:val="1131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333" w:customStyle="1">
    <w:name w:val="xl213"/>
    <w:basedOn w:val="1131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334" w:customStyle="1">
    <w:name w:val="xl214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35" w:customStyle="1">
    <w:name w:val="xl215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36" w:customStyle="1">
    <w:name w:val="xl216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37" w:customStyle="1">
    <w:name w:val="xl217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38" w:customStyle="1">
    <w:name w:val="xl218"/>
    <w:basedOn w:val="1131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39" w:customStyle="1">
    <w:name w:val="xl219"/>
    <w:basedOn w:val="1131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40" w:customStyle="1">
    <w:name w:val="xl220"/>
    <w:basedOn w:val="1131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41" w:customStyle="1">
    <w:name w:val="xl221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42" w:customStyle="1">
    <w:name w:val="xl222"/>
    <w:basedOn w:val="1131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43" w:customStyle="1">
    <w:name w:val="xl223"/>
    <w:basedOn w:val="1131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44" w:customStyle="1">
    <w:name w:val="xl224"/>
    <w:basedOn w:val="1131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45" w:customStyle="1">
    <w:name w:val="xl225"/>
    <w:basedOn w:val="1131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46" w:customStyle="1">
    <w:name w:val="xl226"/>
    <w:basedOn w:val="1131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47" w:customStyle="1">
    <w:name w:val="xl227"/>
    <w:basedOn w:val="1131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48" w:customStyle="1">
    <w:name w:val="xl228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49" w:customStyle="1">
    <w:name w:val="xl229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50" w:customStyle="1">
    <w:name w:val="xl230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51" w:customStyle="1">
    <w:name w:val="xl231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52" w:customStyle="1">
    <w:name w:val="xl232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353" w:customStyle="1">
    <w:name w:val="xl233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354" w:customStyle="1">
    <w:name w:val="xl234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55" w:customStyle="1">
    <w:name w:val="xl235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56" w:customStyle="1">
    <w:name w:val="xl236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57" w:customStyle="1">
    <w:name w:val="xl237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58" w:customStyle="1">
    <w:name w:val="xl238"/>
    <w:basedOn w:val="1131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359" w:customStyle="1">
    <w:name w:val="xl239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60" w:customStyle="1">
    <w:name w:val="xl240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61" w:customStyle="1">
    <w:name w:val="xl241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62" w:customStyle="1">
    <w:name w:val="xl242"/>
    <w:basedOn w:val="1131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363" w:customStyle="1">
    <w:name w:val="xl243"/>
    <w:basedOn w:val="1131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364" w:customStyle="1">
    <w:name w:val="xl244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365" w:customStyle="1">
    <w:name w:val="xl245"/>
    <w:basedOn w:val="1131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366" w:customStyle="1">
    <w:name w:val="xl246"/>
    <w:basedOn w:val="1131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67" w:customStyle="1">
    <w:name w:val="xl247"/>
    <w:basedOn w:val="1131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68" w:customStyle="1">
    <w:name w:val="xl248"/>
    <w:basedOn w:val="1131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369" w:customStyle="1">
    <w:name w:val="xl249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370" w:customStyle="1">
    <w:name w:val="xl250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371" w:customStyle="1">
    <w:name w:val="xl251"/>
    <w:basedOn w:val="1131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372" w:customStyle="1">
    <w:name w:val="xl252"/>
    <w:basedOn w:val="1131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373" w:customStyle="1">
    <w:name w:val="xl253"/>
    <w:basedOn w:val="1131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374" w:customStyle="1">
    <w:name w:val="xl254"/>
    <w:basedOn w:val="1131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375" w:customStyle="1">
    <w:name w:val="xl255"/>
    <w:basedOn w:val="1131"/>
    <w:pPr>
      <w:spacing w:before="100" w:beforeAutospacing="1" w:after="100" w:afterAutospacing="1"/>
    </w:pPr>
    <w:rPr>
      <w:color w:val="151fe9"/>
    </w:rPr>
  </w:style>
  <w:style w:type="paragraph" w:styleId="1376" w:customStyle="1">
    <w:name w:val="xl256"/>
    <w:basedOn w:val="1131"/>
    <w:pPr>
      <w:spacing w:before="100" w:beforeAutospacing="1" w:after="100" w:afterAutospacing="1"/>
    </w:pPr>
    <w:rPr>
      <w:color w:val="974706"/>
    </w:rPr>
  </w:style>
  <w:style w:type="paragraph" w:styleId="1377" w:customStyle="1">
    <w:name w:val="xl257"/>
    <w:basedOn w:val="1131"/>
    <w:pPr>
      <w:spacing w:before="100" w:beforeAutospacing="1" w:after="100" w:afterAutospacing="1"/>
    </w:pPr>
  </w:style>
  <w:style w:type="character" w:styleId="1378" w:customStyle="1">
    <w:name w:val="Верхний колонтитул Знак"/>
    <w:link w:val="1151"/>
    <w:rPr>
      <w:sz w:val="24"/>
      <w:szCs w:val="24"/>
    </w:rPr>
  </w:style>
  <w:style w:type="character" w:styleId="1379" w:customStyle="1">
    <w:name w:val="Нижний колонтитул Знак"/>
    <w:link w:val="1148"/>
    <w:uiPriority w:val="99"/>
    <w:rPr>
      <w:sz w:val="24"/>
      <w:szCs w:val="24"/>
    </w:rPr>
  </w:style>
  <w:style w:type="paragraph" w:styleId="1380">
    <w:name w:val="Body Text Indent 3"/>
    <w:basedOn w:val="1131"/>
    <w:link w:val="1381"/>
    <w:pPr>
      <w:ind w:left="283"/>
      <w:spacing w:after="120"/>
      <w:widowControl w:val="off"/>
    </w:pPr>
    <w:rPr>
      <w:sz w:val="16"/>
      <w:szCs w:val="16"/>
    </w:rPr>
  </w:style>
  <w:style w:type="character" w:styleId="1381" w:customStyle="1">
    <w:name w:val="Основной текст с отступом 3 Знак"/>
    <w:basedOn w:val="1135"/>
    <w:link w:val="1380"/>
    <w:rPr>
      <w:sz w:val="16"/>
      <w:szCs w:val="16"/>
    </w:rPr>
  </w:style>
  <w:style w:type="paragraph" w:styleId="1382">
    <w:name w:val="Body Text 2"/>
    <w:basedOn w:val="1131"/>
    <w:link w:val="1383"/>
    <w:pPr>
      <w:spacing w:after="120" w:line="480" w:lineRule="auto"/>
      <w:widowControl w:val="off"/>
    </w:pPr>
    <w:rPr>
      <w:szCs w:val="20"/>
    </w:rPr>
  </w:style>
  <w:style w:type="character" w:styleId="1383" w:customStyle="1">
    <w:name w:val="Основной текст 2 Знак"/>
    <w:basedOn w:val="1135"/>
    <w:link w:val="1382"/>
    <w:rPr>
      <w:sz w:val="24"/>
    </w:rPr>
  </w:style>
  <w:style w:type="paragraph" w:styleId="1384">
    <w:name w:val="Body Text Indent 2"/>
    <w:basedOn w:val="1131"/>
    <w:link w:val="1385"/>
    <w:pPr>
      <w:ind w:left="283"/>
      <w:spacing w:after="120" w:line="480" w:lineRule="auto"/>
      <w:widowControl w:val="off"/>
    </w:pPr>
    <w:rPr>
      <w:szCs w:val="20"/>
    </w:rPr>
  </w:style>
  <w:style w:type="character" w:styleId="1385" w:customStyle="1">
    <w:name w:val="Основной текст с отступом 2 Знак"/>
    <w:basedOn w:val="1135"/>
    <w:link w:val="1384"/>
    <w:rPr>
      <w:sz w:val="24"/>
    </w:rPr>
  </w:style>
  <w:style w:type="paragraph" w:styleId="1386">
    <w:name w:val="footnote text"/>
    <w:basedOn w:val="1131"/>
    <w:link w:val="1387"/>
    <w:rPr>
      <w:sz w:val="20"/>
      <w:szCs w:val="20"/>
    </w:rPr>
  </w:style>
  <w:style w:type="character" w:styleId="1387" w:customStyle="1">
    <w:name w:val="Текст сноски Знак"/>
    <w:basedOn w:val="1135"/>
    <w:link w:val="1386"/>
  </w:style>
  <w:style w:type="character" w:styleId="1388">
    <w:name w:val="footnote reference"/>
    <w:rPr>
      <w:vertAlign w:val="superscript"/>
    </w:rPr>
  </w:style>
  <w:style w:type="character" w:styleId="1389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390" w:customStyle="1">
    <w:name w:val="Style5"/>
    <w:basedOn w:val="1131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391" w:customStyle="1">
    <w:name w:val="Абзац списка Знак"/>
    <w:link w:val="1154"/>
    <w:uiPriority w:val="34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392" w:customStyle="1">
    <w:name w:val="rezul"/>
    <w:basedOn w:val="1131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393" w:customStyle="1">
    <w:name w:val="Таблицы (моноширинный)"/>
    <w:basedOn w:val="1131"/>
    <w:next w:val="1131"/>
    <w:pPr>
      <w:jc w:val="both"/>
    </w:pPr>
    <w:rPr>
      <w:rFonts w:ascii="Courier New" w:hAnsi="Courier New" w:cs="Courier New"/>
      <w:sz w:val="20"/>
      <w:szCs w:val="20"/>
    </w:rPr>
  </w:style>
  <w:style w:type="paragraph" w:styleId="1394">
    <w:name w:val="Title"/>
    <w:basedOn w:val="1131"/>
    <w:link w:val="1395"/>
    <w:qFormat/>
    <w:pPr>
      <w:jc w:val="center"/>
    </w:pPr>
    <w:rPr>
      <w:rFonts w:ascii="Courier New" w:hAnsi="Courier New" w:cs="Courier New"/>
      <w:szCs w:val="20"/>
    </w:rPr>
  </w:style>
  <w:style w:type="character" w:styleId="1395" w:customStyle="1">
    <w:name w:val="Заголовок Знак"/>
    <w:basedOn w:val="1135"/>
    <w:link w:val="1394"/>
    <w:rPr>
      <w:rFonts w:ascii="Courier New" w:hAnsi="Courier New" w:cs="Courier New"/>
      <w:sz w:val="24"/>
    </w:rPr>
  </w:style>
  <w:style w:type="character" w:styleId="1396" w:customStyle="1">
    <w:name w:val="Основной текст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styleId="1397" w:customStyle="1">
    <w:name w:val="Основной текст + 11;5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styleId="1398" w:customStyle="1">
    <w:name w:val="Основной текст3"/>
    <w:basedOn w:val="1131"/>
    <w:link w:val="1403"/>
    <w:pPr>
      <w:ind w:firstLine="740"/>
      <w:spacing w:before="240" w:after="60" w:line="278" w:lineRule="exact"/>
      <w:shd w:val="clear" w:color="auto" w:fill="ffffff"/>
      <w:widowControl w:val="off"/>
    </w:pPr>
    <w:rPr>
      <w:color w:val="000000"/>
    </w:rPr>
  </w:style>
  <w:style w:type="numbering" w:styleId="1399" w:customStyle="1">
    <w:name w:val="Нет списка1"/>
    <w:next w:val="1137"/>
    <w:uiPriority w:val="99"/>
    <w:semiHidden/>
    <w:unhideWhenUsed/>
  </w:style>
  <w:style w:type="character" w:styleId="1400" w:customStyle="1">
    <w:name w:val="Заголовок 1 Знак"/>
    <w:link w:val="1132"/>
    <w:uiPriority w:val="9"/>
    <w:rPr>
      <w:rFonts w:ascii="Arial" w:hAnsi="Arial" w:cs="Arial"/>
      <w:b/>
      <w:bCs/>
      <w:sz w:val="32"/>
      <w:szCs w:val="32"/>
    </w:rPr>
  </w:style>
  <w:style w:type="character" w:styleId="1401" w:customStyle="1">
    <w:name w:val="Заголовок 3 Знак"/>
    <w:link w:val="1134"/>
    <w:uiPriority w:val="9"/>
    <w:rPr>
      <w:rFonts w:ascii="Arial" w:hAnsi="Arial" w:eastAsia="Arial Unicode MS" w:cs="Arial"/>
      <w:b/>
      <w:bCs/>
      <w:spacing w:val="-20"/>
      <w:sz w:val="40"/>
      <w:szCs w:val="40"/>
    </w:rPr>
  </w:style>
  <w:style w:type="table" w:styleId="1402" w:customStyle="1">
    <w:name w:val="Table Grid"/>
    <w:rPr>
      <w:rFonts w:ascii="Calibri" w:hAnsi="Calibr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1403" w:customStyle="1">
    <w:name w:val="Основной текст_"/>
    <w:basedOn w:val="1135"/>
    <w:link w:val="1398"/>
    <w:rPr>
      <w:color w:val="000000"/>
      <w:sz w:val="24"/>
      <w:szCs w:val="24"/>
      <w:shd w:val="clear" w:color="auto" w:fill="ffffff"/>
    </w:rPr>
  </w:style>
  <w:style w:type="character" w:styleId="1404" w:customStyle="1">
    <w:name w:val="Подпись к таблице_"/>
    <w:basedOn w:val="1135"/>
    <w:link w:val="1405"/>
    <w:rPr>
      <w:b/>
      <w:bCs/>
      <w:sz w:val="23"/>
      <w:szCs w:val="23"/>
      <w:shd w:val="clear" w:color="auto" w:fill="ffffff"/>
    </w:rPr>
  </w:style>
  <w:style w:type="paragraph" w:styleId="1405" w:customStyle="1">
    <w:name w:val="Подпись к таблице1"/>
    <w:basedOn w:val="1131"/>
    <w:link w:val="1404"/>
    <w:pPr>
      <w:jc w:val="center"/>
      <w:spacing w:line="278" w:lineRule="exact"/>
      <w:shd w:val="clear" w:color="auto" w:fill="ffffff"/>
      <w:widowControl w:val="off"/>
    </w:pPr>
    <w:rPr>
      <w:b/>
      <w:bCs/>
      <w:sz w:val="23"/>
      <w:szCs w:val="23"/>
    </w:rPr>
  </w:style>
  <w:style w:type="table" w:styleId="1406" w:customStyle="1">
    <w:name w:val="Сетка таблицы1"/>
    <w:basedOn w:val="1136"/>
    <w:next w:val="1142"/>
    <w:uiPriority w:val="59"/>
    <w:pPr>
      <w:widowControl w:val="off"/>
    </w:pPr>
    <w:rPr>
      <w:rFonts w:ascii="Courier New" w:hAnsi="Courier New" w:eastAsia="Courier New" w:cs="Courier New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07">
    <w:name w:val="annotation reference"/>
    <w:basedOn w:val="1135"/>
    <w:semiHidden/>
    <w:unhideWhenUsed/>
    <w:rPr>
      <w:sz w:val="16"/>
      <w:szCs w:val="16"/>
    </w:rPr>
  </w:style>
  <w:style w:type="paragraph" w:styleId="1408">
    <w:name w:val="annotation text"/>
    <w:basedOn w:val="1131"/>
    <w:link w:val="1409"/>
    <w:semiHidden/>
    <w:unhideWhenUsed/>
    <w:rPr>
      <w:sz w:val="20"/>
      <w:szCs w:val="20"/>
    </w:rPr>
  </w:style>
  <w:style w:type="character" w:styleId="1409" w:customStyle="1">
    <w:name w:val="Текст примечания Знак"/>
    <w:basedOn w:val="1135"/>
    <w:link w:val="1408"/>
    <w:semiHidden/>
  </w:style>
  <w:style w:type="paragraph" w:styleId="1410">
    <w:name w:val="annotation subject"/>
    <w:basedOn w:val="1408"/>
    <w:next w:val="1408"/>
    <w:link w:val="1411"/>
    <w:semiHidden/>
    <w:unhideWhenUsed/>
    <w:rPr>
      <w:b/>
      <w:bCs/>
    </w:rPr>
  </w:style>
  <w:style w:type="character" w:styleId="1411" w:customStyle="1">
    <w:name w:val="Тема примечания Знак"/>
    <w:basedOn w:val="1409"/>
    <w:link w:val="1410"/>
    <w:semiHidden/>
    <w:rPr>
      <w:b/>
      <w:bCs/>
    </w:rPr>
  </w:style>
  <w:style w:type="character" w:styleId="1412" w:customStyle="1">
    <w:name w:val="Другое_"/>
    <w:basedOn w:val="1135"/>
    <w:link w:val="1413"/>
    <w:rPr>
      <w:b/>
      <w:bCs/>
      <w:color w:val="56535a"/>
      <w:sz w:val="14"/>
      <w:szCs w:val="14"/>
    </w:rPr>
  </w:style>
  <w:style w:type="paragraph" w:styleId="1413" w:customStyle="1">
    <w:name w:val="Другое"/>
    <w:basedOn w:val="1131"/>
    <w:link w:val="1412"/>
    <w:pPr>
      <w:widowControl w:val="off"/>
    </w:pPr>
    <w:rPr>
      <w:b/>
      <w:bCs/>
      <w:color w:val="56535a"/>
      <w:sz w:val="14"/>
      <w:szCs w:val="1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header" Target="header11.xml" /><Relationship Id="rId20" Type="http://schemas.openxmlformats.org/officeDocument/2006/relationships/header" Target="header12.xml" /><Relationship Id="rId21" Type="http://schemas.openxmlformats.org/officeDocument/2006/relationships/header" Target="header13.xml" /><Relationship Id="rId22" Type="http://schemas.openxmlformats.org/officeDocument/2006/relationships/header" Target="header14.xml" /><Relationship Id="rId23" Type="http://schemas.openxmlformats.org/officeDocument/2006/relationships/header" Target="header15.xml" /><Relationship Id="rId24" Type="http://schemas.openxmlformats.org/officeDocument/2006/relationships/footer" Target="footer1.xml" /><Relationship Id="rId25" Type="http://schemas.openxmlformats.org/officeDocument/2006/relationships/customXml" Target="../customXml/item1.xml" /><Relationship Id="rId26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11.xml.rels><?xml version="1.0" encoding="UTF-8" standalone="yes"?><Relationships xmlns="http://schemas.openxmlformats.org/package/2006/relationships"></Relationships>
</file>

<file path=word/_rels/header12.xml.rels><?xml version="1.0" encoding="UTF-8" standalone="yes"?><Relationships xmlns="http://schemas.openxmlformats.org/package/2006/relationships"></Relationships>
</file>

<file path=word/_rels/header13.xml.rels><?xml version="1.0" encoding="UTF-8" standalone="yes"?><Relationships xmlns="http://schemas.openxmlformats.org/package/2006/relationships"></Relationships>
</file>

<file path=word/_rels/header14.xml.rels><?xml version="1.0" encoding="UTF-8" standalone="yes"?><Relationships xmlns="http://schemas.openxmlformats.org/package/2006/relationships"></Relationships>
</file>

<file path=word/_rels/header15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2B5EE-E7A8-4174-96EC-6A2A776C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Смирнова Н. С. Консультант Управление делами Администрация городского округа г. Шахунья</cp:lastModifiedBy>
  <cp:revision>669</cp:revision>
  <dcterms:created xsi:type="dcterms:W3CDTF">2025-04-02T11:37:00Z</dcterms:created>
  <dcterms:modified xsi:type="dcterms:W3CDTF">2026-03-05T12:04:39Z</dcterms:modified>
</cp:coreProperties>
</file>